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638" w:rsidRPr="005D792E" w:rsidRDefault="004C1638" w:rsidP="00CC536B">
      <w:pPr>
        <w:pStyle w:val="Rientrocorpodeltesto"/>
        <w:spacing w:after="0"/>
        <w:ind w:firstLine="0"/>
        <w:jc w:val="center"/>
        <w:rPr>
          <w:rFonts w:ascii="Centaur" w:hAnsi="Centaur"/>
          <w:smallCaps/>
        </w:rPr>
      </w:pPr>
      <w:r w:rsidRPr="005D792E">
        <w:rPr>
          <w:rFonts w:ascii="Centaur" w:hAnsi="Centaur"/>
          <w:smallCaps/>
          <w:sz w:val="32"/>
        </w:rPr>
        <w:t>Epigrafia cristiana e medievale</w:t>
      </w:r>
      <w:r w:rsidR="005D792E">
        <w:rPr>
          <w:rFonts w:ascii="Centaur" w:hAnsi="Centaur"/>
          <w:smallCaps/>
          <w:sz w:val="32"/>
        </w:rPr>
        <w:t xml:space="preserve"> </w:t>
      </w:r>
      <w:r w:rsidR="005D792E" w:rsidRPr="005D792E">
        <w:rPr>
          <w:rFonts w:ascii="Centaur" w:hAnsi="Centaur"/>
          <w:smallCaps/>
          <w:sz w:val="18"/>
        </w:rPr>
        <w:t>(a.a. 20</w:t>
      </w:r>
      <w:r w:rsidR="00CC536B">
        <w:rPr>
          <w:rFonts w:ascii="Centaur" w:hAnsi="Centaur"/>
          <w:smallCaps/>
          <w:sz w:val="18"/>
        </w:rPr>
        <w:t>19</w:t>
      </w:r>
      <w:r w:rsidR="005D792E" w:rsidRPr="005D792E">
        <w:rPr>
          <w:rFonts w:ascii="Centaur" w:hAnsi="Centaur"/>
          <w:smallCaps/>
          <w:sz w:val="18"/>
        </w:rPr>
        <w:t>-20</w:t>
      </w:r>
      <w:r w:rsidR="00CC536B">
        <w:rPr>
          <w:rFonts w:ascii="Centaur" w:hAnsi="Centaur"/>
          <w:smallCaps/>
          <w:sz w:val="18"/>
        </w:rPr>
        <w:t>20</w:t>
      </w:r>
      <w:r w:rsidR="005D792E" w:rsidRPr="005D792E">
        <w:rPr>
          <w:rFonts w:ascii="Centaur" w:hAnsi="Centaur"/>
          <w:smallCaps/>
          <w:sz w:val="18"/>
        </w:rPr>
        <w:t>)</w:t>
      </w:r>
    </w:p>
    <w:p w:rsidR="004C1638" w:rsidRPr="005D792E" w:rsidRDefault="004C1638" w:rsidP="005D792E">
      <w:pPr>
        <w:pStyle w:val="Rientrocorpodeltesto"/>
        <w:spacing w:after="0"/>
        <w:ind w:firstLine="0"/>
        <w:jc w:val="center"/>
        <w:rPr>
          <w:rFonts w:ascii="Centaur" w:hAnsi="Centaur"/>
          <w:i/>
          <w:iCs/>
          <w:szCs w:val="24"/>
        </w:rPr>
      </w:pPr>
      <w:r w:rsidRPr="005D792E">
        <w:rPr>
          <w:rFonts w:ascii="Centaur" w:hAnsi="Centaur"/>
          <w:szCs w:val="24"/>
        </w:rPr>
        <w:t xml:space="preserve">prof. Antonio Enrico Felle </w:t>
      </w:r>
      <w:r w:rsidR="005D792E" w:rsidRPr="005D792E">
        <w:rPr>
          <w:rFonts w:ascii="Centaur" w:hAnsi="Centaur"/>
          <w:szCs w:val="24"/>
        </w:rPr>
        <w:t>(</w:t>
      </w:r>
      <w:r w:rsidRPr="005D792E">
        <w:rPr>
          <w:rFonts w:ascii="Centaur" w:hAnsi="Centaur"/>
          <w:i/>
          <w:szCs w:val="24"/>
        </w:rPr>
        <w:t>a</w:t>
      </w:r>
      <w:r w:rsidR="00D162E7">
        <w:rPr>
          <w:rFonts w:ascii="Centaur" w:hAnsi="Centaur"/>
          <w:i/>
          <w:szCs w:val="24"/>
        </w:rPr>
        <w:t>ntonio</w:t>
      </w:r>
      <w:r w:rsidRPr="005D792E">
        <w:rPr>
          <w:rFonts w:ascii="Centaur" w:hAnsi="Centaur"/>
          <w:i/>
          <w:szCs w:val="24"/>
        </w:rPr>
        <w:t>.felle@uniba.it</w:t>
      </w:r>
      <w:r w:rsidRPr="005D792E">
        <w:rPr>
          <w:rFonts w:ascii="Centaur" w:hAnsi="Centaur"/>
          <w:szCs w:val="24"/>
        </w:rPr>
        <w:t xml:space="preserve">) </w:t>
      </w:r>
    </w:p>
    <w:p w:rsidR="004C1638" w:rsidRPr="005D792E" w:rsidRDefault="004C1638" w:rsidP="004C1638">
      <w:pPr>
        <w:pStyle w:val="Rientrocorpodeltesto"/>
        <w:spacing w:after="0"/>
        <w:ind w:firstLine="0"/>
        <w:rPr>
          <w:rFonts w:ascii="Centaur" w:hAnsi="Centaur"/>
        </w:rPr>
      </w:pPr>
    </w:p>
    <w:p w:rsidR="004C1638" w:rsidRPr="005D792E" w:rsidRDefault="004C1638" w:rsidP="004C1638">
      <w:pPr>
        <w:pStyle w:val="Rientrocorpodeltesto"/>
        <w:spacing w:after="0"/>
        <w:ind w:left="540" w:hanging="540"/>
        <w:rPr>
          <w:rFonts w:ascii="Centaur" w:hAnsi="Centaur"/>
        </w:rPr>
      </w:pPr>
      <w:r w:rsidRPr="005D792E">
        <w:rPr>
          <w:rFonts w:ascii="Centaur" w:hAnsi="Centaur"/>
        </w:rPr>
        <w:t xml:space="preserve">Finalità del corso </w:t>
      </w:r>
    </w:p>
    <w:p w:rsidR="00B44E3B" w:rsidRDefault="004C1638" w:rsidP="004C1638">
      <w:pPr>
        <w:pStyle w:val="Rientrocorpodeltesto"/>
        <w:spacing w:after="0"/>
        <w:ind w:left="540" w:firstLine="0"/>
        <w:rPr>
          <w:rFonts w:ascii="Centaur" w:hAnsi="Centaur"/>
        </w:rPr>
      </w:pPr>
      <w:r w:rsidRPr="005D792E">
        <w:rPr>
          <w:rFonts w:ascii="Centaur" w:hAnsi="Centaur"/>
        </w:rPr>
        <w:t>Si intende offrire una panoramica degli strumenti e delle metodologie di analisi e di uso della documentazione epigrafica</w:t>
      </w:r>
      <w:r w:rsidR="00691AC8">
        <w:rPr>
          <w:rFonts w:ascii="Centaur" w:hAnsi="Centaur"/>
        </w:rPr>
        <w:t xml:space="preserve"> </w:t>
      </w:r>
      <w:r w:rsidR="0043141A">
        <w:rPr>
          <w:rFonts w:ascii="Centaur" w:hAnsi="Centaur"/>
        </w:rPr>
        <w:t>postclassica</w:t>
      </w:r>
      <w:r w:rsidRPr="005D792E">
        <w:rPr>
          <w:rFonts w:ascii="Centaur" w:hAnsi="Centaur"/>
        </w:rPr>
        <w:t>, in rapporto sia ai diversi contesti di pertinenza, sia alle diverse funzioni dei documenti, seguendo un itinerario su base cronologica sulla base di un costante confronto con l'epigrafia di tradizione classica, tipo e antitipo della prassi epigrafica d’età medievale.</w:t>
      </w:r>
      <w:r w:rsidR="00691AC8">
        <w:rPr>
          <w:rFonts w:ascii="Centaur" w:hAnsi="Centaur"/>
        </w:rPr>
        <w:t xml:space="preserve"> </w:t>
      </w:r>
    </w:p>
    <w:p w:rsidR="00B44E3B" w:rsidRDefault="00B44E3B" w:rsidP="004C1638">
      <w:pPr>
        <w:pStyle w:val="Rientrocorpodeltesto"/>
        <w:spacing w:after="0"/>
        <w:ind w:left="540" w:firstLine="0"/>
        <w:rPr>
          <w:rFonts w:ascii="Centaur" w:hAnsi="Centaur"/>
        </w:rPr>
      </w:pPr>
      <w:r>
        <w:rPr>
          <w:rFonts w:ascii="Centaur" w:hAnsi="Centaur"/>
        </w:rPr>
        <w:t xml:space="preserve">Come prova d'esame si prevede la compilazione di un breve lavoro di edizione scientifica di documenti epigrafici d'età postclassica (V-XV sec.), </w:t>
      </w:r>
      <w:r w:rsidR="005B6ADD">
        <w:rPr>
          <w:rFonts w:ascii="Centaur" w:hAnsi="Centaur"/>
        </w:rPr>
        <w:t xml:space="preserve">anche su piattaforma informatica (con compilazione di schede di database epigrafici) </w:t>
      </w:r>
      <w:r>
        <w:rPr>
          <w:rFonts w:ascii="Centaur" w:hAnsi="Centaur"/>
        </w:rPr>
        <w:t xml:space="preserve">liberamente individuati dagli specializzandi, con ricognizione e autopsia diretta. </w:t>
      </w:r>
    </w:p>
    <w:p w:rsidR="00B44E3B" w:rsidRDefault="00B44E3B" w:rsidP="004C1638">
      <w:pPr>
        <w:pStyle w:val="Rientrocorpodeltesto"/>
        <w:spacing w:after="0"/>
        <w:ind w:left="540" w:firstLine="0"/>
        <w:rPr>
          <w:rFonts w:ascii="Centaur" w:hAnsi="Centaur"/>
        </w:rPr>
      </w:pPr>
      <w:r>
        <w:rPr>
          <w:rFonts w:ascii="Centaur" w:hAnsi="Centaur"/>
        </w:rPr>
        <w:t xml:space="preserve">Le lezioni saranno inizialmente di tipo frontale, seguite poi da incontri di carattere seminariale con illustrazione da parte degli studenti dell'avanzamento del proprio lavoro di ricerca. </w:t>
      </w:r>
    </w:p>
    <w:p w:rsidR="00691AC8" w:rsidRPr="005D792E" w:rsidRDefault="00691AC8" w:rsidP="00CC536B">
      <w:pPr>
        <w:pStyle w:val="Rientrocorpodeltesto"/>
        <w:spacing w:after="0"/>
        <w:ind w:left="540" w:firstLine="0"/>
        <w:rPr>
          <w:rFonts w:ascii="Centaur" w:hAnsi="Centaur"/>
        </w:rPr>
      </w:pPr>
      <w:r>
        <w:rPr>
          <w:rFonts w:ascii="Centaur" w:hAnsi="Centaur"/>
        </w:rPr>
        <w:t>E' obbligatoria la conoscenza del latino; auspicabile, ma non obbligatorio, il requisito d</w:t>
      </w:r>
      <w:r w:rsidR="00CC536B">
        <w:rPr>
          <w:rFonts w:ascii="Centaur" w:hAnsi="Centaur"/>
        </w:rPr>
        <w:t>i una buona</w:t>
      </w:r>
      <w:bookmarkStart w:id="0" w:name="_GoBack"/>
      <w:bookmarkEnd w:id="0"/>
      <w:r w:rsidR="00CC536B">
        <w:rPr>
          <w:rFonts w:ascii="Centaur" w:hAnsi="Centaur"/>
        </w:rPr>
        <w:t xml:space="preserve"> </w:t>
      </w:r>
      <w:r>
        <w:rPr>
          <w:rFonts w:ascii="Centaur" w:hAnsi="Centaur"/>
        </w:rPr>
        <w:t xml:space="preserve">conoscenza della lingua greca.  </w:t>
      </w:r>
    </w:p>
    <w:p w:rsidR="004C1638" w:rsidRPr="005D792E" w:rsidRDefault="004C1638" w:rsidP="004C1638">
      <w:pPr>
        <w:pStyle w:val="Rientrocorpodeltesto"/>
        <w:spacing w:after="0"/>
        <w:ind w:left="540" w:hanging="540"/>
        <w:rPr>
          <w:rFonts w:ascii="Centaur" w:hAnsi="Centaur"/>
        </w:rPr>
      </w:pPr>
    </w:p>
    <w:p w:rsidR="004C1638" w:rsidRPr="005D792E" w:rsidRDefault="004C1638" w:rsidP="004C1638">
      <w:pPr>
        <w:pStyle w:val="Rientrocorpodeltesto"/>
        <w:spacing w:after="0"/>
        <w:ind w:left="540" w:hanging="540"/>
        <w:rPr>
          <w:rFonts w:ascii="Centaur" w:hAnsi="Centaur"/>
        </w:rPr>
      </w:pPr>
      <w:r w:rsidRPr="005D792E">
        <w:rPr>
          <w:rFonts w:ascii="Centaur" w:hAnsi="Centaur"/>
        </w:rPr>
        <w:t xml:space="preserve">Contenuti del corso </w:t>
      </w:r>
    </w:p>
    <w:p w:rsidR="00CA0000" w:rsidRDefault="004C1638" w:rsidP="004C1638">
      <w:pPr>
        <w:pStyle w:val="Corpotesto"/>
        <w:spacing w:after="0"/>
        <w:ind w:left="540"/>
        <w:rPr>
          <w:rFonts w:ascii="Centaur" w:hAnsi="Centaur"/>
          <w:szCs w:val="28"/>
        </w:rPr>
      </w:pPr>
      <w:r w:rsidRPr="005D792E">
        <w:rPr>
          <w:rFonts w:ascii="Centaur" w:hAnsi="Centaur"/>
          <w:szCs w:val="28"/>
        </w:rPr>
        <w:t xml:space="preserve">I. </w:t>
      </w:r>
      <w:r w:rsidRPr="005D792E">
        <w:rPr>
          <w:rFonts w:ascii="Centaur" w:hAnsi="Centaur"/>
          <w:i/>
          <w:iCs/>
          <w:szCs w:val="28"/>
        </w:rPr>
        <w:t>Elementi generali di epigrafia: genesi delle iscrizioni, supporti materiali, tecniche esecutive. Elementi di schedatura e di studio epigrafico</w:t>
      </w:r>
      <w:r w:rsidRPr="005D792E">
        <w:rPr>
          <w:rFonts w:ascii="Centaur" w:hAnsi="Centaur"/>
          <w:szCs w:val="28"/>
        </w:rPr>
        <w:t xml:space="preserve">. </w:t>
      </w:r>
    </w:p>
    <w:p w:rsidR="00CA0000" w:rsidRDefault="004C1638" w:rsidP="004C1638">
      <w:pPr>
        <w:pStyle w:val="Corpotesto"/>
        <w:spacing w:after="0"/>
        <w:ind w:left="540"/>
        <w:rPr>
          <w:rFonts w:ascii="Centaur" w:hAnsi="Centaur"/>
          <w:i/>
          <w:iCs/>
          <w:szCs w:val="28"/>
        </w:rPr>
      </w:pPr>
      <w:r w:rsidRPr="005D792E">
        <w:rPr>
          <w:rFonts w:ascii="Centaur" w:hAnsi="Centaur"/>
          <w:szCs w:val="28"/>
        </w:rPr>
        <w:t xml:space="preserve">II. </w:t>
      </w:r>
      <w:r w:rsidRPr="005D792E">
        <w:rPr>
          <w:rFonts w:ascii="Centaur" w:hAnsi="Centaur"/>
          <w:i/>
          <w:iCs/>
          <w:szCs w:val="28"/>
        </w:rPr>
        <w:t xml:space="preserve">Funzioni dei documenti epigrafici in età </w:t>
      </w:r>
      <w:r w:rsidR="00D162E7">
        <w:rPr>
          <w:rFonts w:ascii="Centaur" w:hAnsi="Centaur"/>
          <w:i/>
          <w:iCs/>
          <w:szCs w:val="28"/>
        </w:rPr>
        <w:t>tardo</w:t>
      </w:r>
      <w:r w:rsidRPr="005D792E">
        <w:rPr>
          <w:rFonts w:ascii="Centaur" w:hAnsi="Centaur"/>
          <w:i/>
          <w:iCs/>
          <w:szCs w:val="28"/>
        </w:rPr>
        <w:t>antica e medievale.</w:t>
      </w:r>
      <w:r w:rsidR="00CA0000">
        <w:rPr>
          <w:rFonts w:ascii="Centaur" w:hAnsi="Centaur"/>
          <w:i/>
          <w:iCs/>
          <w:szCs w:val="28"/>
        </w:rPr>
        <w:t xml:space="preserve"> </w:t>
      </w:r>
    </w:p>
    <w:p w:rsidR="00CA0000" w:rsidRDefault="004C1638" w:rsidP="004C1638">
      <w:pPr>
        <w:pStyle w:val="Rientrocorpodeltesto"/>
        <w:spacing w:after="0"/>
        <w:ind w:left="540" w:firstLine="0"/>
        <w:rPr>
          <w:rFonts w:ascii="Centaur" w:hAnsi="Centaur"/>
          <w:i/>
          <w:iCs/>
          <w:szCs w:val="28"/>
        </w:rPr>
      </w:pPr>
      <w:r w:rsidRPr="005D792E">
        <w:rPr>
          <w:rFonts w:ascii="Centaur" w:hAnsi="Centaur"/>
          <w:szCs w:val="28"/>
        </w:rPr>
        <w:t xml:space="preserve">III. </w:t>
      </w:r>
      <w:r w:rsidR="00D162E7" w:rsidRPr="00D162E7">
        <w:rPr>
          <w:rFonts w:ascii="Centaur" w:hAnsi="Centaur"/>
          <w:i/>
          <w:szCs w:val="28"/>
        </w:rPr>
        <w:t>Elementi di epigrafia digitale</w:t>
      </w:r>
      <w:r w:rsidR="00CA0000">
        <w:rPr>
          <w:rFonts w:ascii="Centaur" w:hAnsi="Centaur"/>
          <w:i/>
          <w:iCs/>
          <w:szCs w:val="28"/>
        </w:rPr>
        <w:t>.</w:t>
      </w:r>
      <w:r w:rsidRPr="005D792E">
        <w:rPr>
          <w:rFonts w:ascii="Centaur" w:hAnsi="Centaur"/>
          <w:i/>
          <w:iCs/>
          <w:szCs w:val="28"/>
        </w:rPr>
        <w:t xml:space="preserve"> </w:t>
      </w:r>
    </w:p>
    <w:p w:rsidR="004C1638" w:rsidRPr="005D792E" w:rsidRDefault="004C1638" w:rsidP="004C1638">
      <w:pPr>
        <w:pStyle w:val="Rientrocorpodeltesto"/>
        <w:spacing w:after="0"/>
        <w:ind w:left="540" w:hanging="540"/>
        <w:rPr>
          <w:rFonts w:ascii="Centaur" w:hAnsi="Centaur"/>
        </w:rPr>
      </w:pPr>
    </w:p>
    <w:p w:rsidR="004C1638" w:rsidRPr="00CC536B" w:rsidRDefault="004C1638" w:rsidP="004C1638">
      <w:pPr>
        <w:pStyle w:val="Rientrocorpodeltesto"/>
        <w:spacing w:after="0"/>
        <w:ind w:left="540" w:hanging="540"/>
        <w:rPr>
          <w:rFonts w:ascii="Centaur" w:hAnsi="Centaur"/>
        </w:rPr>
      </w:pPr>
      <w:r w:rsidRPr="00CC536B">
        <w:rPr>
          <w:rFonts w:ascii="Centaur" w:hAnsi="Centaur"/>
        </w:rPr>
        <w:t>Bibliografia e sitografia di riferim</w:t>
      </w:r>
      <w:r w:rsidR="005D792E" w:rsidRPr="00CC536B">
        <w:rPr>
          <w:rFonts w:ascii="Centaur" w:hAnsi="Centaur"/>
        </w:rPr>
        <w:t>ento</w:t>
      </w:r>
    </w:p>
    <w:p w:rsidR="004C1638" w:rsidRPr="00CC536B" w:rsidRDefault="004C1638" w:rsidP="00CC536B">
      <w:pPr>
        <w:pStyle w:val="Corpotesto"/>
        <w:spacing w:after="0"/>
        <w:ind w:left="540"/>
        <w:rPr>
          <w:rFonts w:ascii="Centaur" w:hAnsi="Centaur"/>
          <w:sz w:val="22"/>
          <w:szCs w:val="22"/>
        </w:rPr>
      </w:pPr>
      <w:r w:rsidRPr="00CC536B">
        <w:rPr>
          <w:rFonts w:ascii="Centaur" w:hAnsi="Centaur"/>
          <w:b/>
          <w:sz w:val="22"/>
          <w:szCs w:val="22"/>
          <w:lang w:val="en-US"/>
        </w:rPr>
        <w:t>I.</w:t>
      </w:r>
      <w:r w:rsidRPr="00CC536B">
        <w:rPr>
          <w:rFonts w:ascii="Centaur" w:hAnsi="Centaur"/>
          <w:sz w:val="22"/>
          <w:szCs w:val="22"/>
          <w:lang w:val="en-US"/>
        </w:rPr>
        <w:t xml:space="preserve"> </w:t>
      </w:r>
      <w:r w:rsidR="00CC536B" w:rsidRPr="00CC536B">
        <w:rPr>
          <w:rFonts w:ascii="Centaur" w:hAnsi="Centaur" w:cstheme="minorHAnsi"/>
          <w:bCs/>
          <w:sz w:val="22"/>
          <w:szCs w:val="22"/>
          <w:lang w:val="en-US" w:eastAsia="ar-SA"/>
        </w:rPr>
        <w:t xml:space="preserve">S. Panciera, </w:t>
      </w:r>
      <w:r w:rsidR="00CC536B" w:rsidRPr="00CC536B">
        <w:rPr>
          <w:rFonts w:ascii="Centaur" w:hAnsi="Centaur" w:cstheme="minorHAnsi"/>
          <w:bCs/>
          <w:i/>
          <w:iCs/>
          <w:sz w:val="22"/>
          <w:szCs w:val="22"/>
          <w:lang w:val="en-US" w:eastAsia="ar-SA"/>
        </w:rPr>
        <w:t xml:space="preserve">What is an Inscription? </w:t>
      </w:r>
      <w:r w:rsidR="00CC536B" w:rsidRPr="00CC536B">
        <w:rPr>
          <w:rFonts w:ascii="Centaur" w:hAnsi="Centaur" w:cstheme="minorHAnsi"/>
          <w:bCs/>
          <w:i/>
          <w:iCs/>
          <w:sz w:val="22"/>
          <w:szCs w:val="22"/>
          <w:lang w:eastAsia="ar-SA"/>
        </w:rPr>
        <w:t>Problems of definition and identity of an historical source</w:t>
      </w:r>
      <w:r w:rsidR="00CC536B" w:rsidRPr="00CC536B">
        <w:rPr>
          <w:rFonts w:ascii="Centaur" w:hAnsi="Centaur" w:cstheme="minorHAnsi"/>
          <w:bCs/>
          <w:sz w:val="22"/>
          <w:szCs w:val="22"/>
          <w:lang w:eastAsia="ar-SA"/>
        </w:rPr>
        <w:t>, “Zeitschrift für Papyrologie und Epigraphik” 183, 2012, 1-10</w:t>
      </w:r>
      <w:r w:rsidRPr="00CC536B">
        <w:rPr>
          <w:rFonts w:ascii="Centaur" w:hAnsi="Centaur"/>
          <w:sz w:val="22"/>
          <w:szCs w:val="22"/>
        </w:rPr>
        <w:t xml:space="preserve">; I. Di Stefano Manzella, </w:t>
      </w:r>
      <w:r w:rsidRPr="00CC536B">
        <w:rPr>
          <w:rFonts w:ascii="Centaur" w:hAnsi="Centaur"/>
          <w:i/>
          <w:iCs/>
          <w:sz w:val="22"/>
          <w:szCs w:val="22"/>
        </w:rPr>
        <w:t>Mestiere di epigrafista</w:t>
      </w:r>
      <w:r w:rsidRPr="00CC536B">
        <w:rPr>
          <w:rFonts w:ascii="Centaur" w:hAnsi="Centaur"/>
          <w:sz w:val="22"/>
          <w:szCs w:val="22"/>
        </w:rPr>
        <w:t xml:space="preserve">, Quasar, Roma 1988; S. Panciera, </w:t>
      </w:r>
      <w:r w:rsidRPr="00CC536B">
        <w:rPr>
          <w:rFonts w:ascii="Centaur" w:hAnsi="Centaur"/>
          <w:i/>
          <w:sz w:val="22"/>
          <w:szCs w:val="22"/>
        </w:rPr>
        <w:t>Struttura dei supplementi  e segni diacritici.  Dieci anni  dopo</w:t>
      </w:r>
      <w:r w:rsidRPr="00CC536B">
        <w:rPr>
          <w:rFonts w:ascii="Centaur" w:hAnsi="Centaur"/>
          <w:sz w:val="22"/>
          <w:szCs w:val="22"/>
        </w:rPr>
        <w:t xml:space="preserve">,  </w:t>
      </w:r>
      <w:r w:rsidR="005D792E" w:rsidRPr="00CC536B">
        <w:rPr>
          <w:rFonts w:ascii="Centaur" w:hAnsi="Centaur"/>
          <w:sz w:val="22"/>
          <w:szCs w:val="22"/>
        </w:rPr>
        <w:t xml:space="preserve">in </w:t>
      </w:r>
      <w:r w:rsidRPr="00CC536B">
        <w:rPr>
          <w:rFonts w:ascii="Centaur" w:hAnsi="Centaur"/>
          <w:i/>
          <w:sz w:val="22"/>
          <w:szCs w:val="22"/>
        </w:rPr>
        <w:t>Supplementa Italica</w:t>
      </w:r>
      <w:r w:rsidRPr="00CC536B">
        <w:rPr>
          <w:rFonts w:ascii="Centaur" w:hAnsi="Centaur"/>
          <w:sz w:val="22"/>
          <w:szCs w:val="22"/>
        </w:rPr>
        <w:t xml:space="preserve">  8,  1991, pp. 9-21 (vedi ora anche </w:t>
      </w:r>
      <w:hyperlink r:id="rId8" w:history="1">
        <w:r w:rsidRPr="00CC536B">
          <w:rPr>
            <w:rStyle w:val="Collegamentoipertestuale"/>
            <w:rFonts w:ascii="Centaur" w:hAnsi="Centaur"/>
            <w:sz w:val="22"/>
            <w:szCs w:val="22"/>
          </w:rPr>
          <w:t>http://www.edr-edr.it/Download/EDR%20-%20Manuale%20v.1.pdf</w:t>
        </w:r>
      </w:hyperlink>
      <w:r w:rsidRPr="00CC536B">
        <w:rPr>
          <w:rFonts w:ascii="Centaur" w:hAnsi="Centaur"/>
          <w:sz w:val="22"/>
          <w:szCs w:val="22"/>
        </w:rPr>
        <w:t xml:space="preserve">). </w:t>
      </w:r>
    </w:p>
    <w:p w:rsidR="005B6ADD" w:rsidRPr="00CC536B" w:rsidRDefault="004C1638" w:rsidP="00CC536B">
      <w:pPr>
        <w:pStyle w:val="Rientrocorpodeltesto"/>
        <w:spacing w:after="0"/>
        <w:ind w:left="540" w:firstLine="0"/>
        <w:rPr>
          <w:rFonts w:ascii="Centaur" w:hAnsi="Centaur"/>
          <w:sz w:val="22"/>
          <w:szCs w:val="22"/>
        </w:rPr>
      </w:pPr>
      <w:r w:rsidRPr="00CC536B">
        <w:rPr>
          <w:rFonts w:ascii="Centaur" w:hAnsi="Centaur"/>
          <w:b/>
          <w:sz w:val="22"/>
          <w:szCs w:val="22"/>
        </w:rPr>
        <w:t>II</w:t>
      </w:r>
      <w:r w:rsidRPr="00CC536B">
        <w:rPr>
          <w:rFonts w:ascii="Centaur" w:hAnsi="Centaur"/>
          <w:sz w:val="22"/>
          <w:szCs w:val="22"/>
        </w:rPr>
        <w:t xml:space="preserve">. C. Carletti, </w:t>
      </w:r>
      <w:r w:rsidRPr="00CC536B">
        <w:rPr>
          <w:rFonts w:ascii="Centaur" w:hAnsi="Centaur"/>
          <w:i/>
          <w:sz w:val="22"/>
          <w:szCs w:val="22"/>
        </w:rPr>
        <w:t xml:space="preserve">Epigrafia dei cristiani in Occidente dal III al VII secolo, </w:t>
      </w:r>
      <w:r w:rsidRPr="00CC536B">
        <w:rPr>
          <w:rFonts w:ascii="Centaur" w:hAnsi="Centaur"/>
          <w:sz w:val="22"/>
          <w:szCs w:val="22"/>
        </w:rPr>
        <w:t>Bari 2008, part. pp. 7-126</w:t>
      </w:r>
      <w:r w:rsidR="00CC536B" w:rsidRPr="00CC536B">
        <w:rPr>
          <w:rFonts w:ascii="Centaur" w:hAnsi="Centaur"/>
          <w:sz w:val="22"/>
          <w:szCs w:val="22"/>
        </w:rPr>
        <w:t>;</w:t>
      </w:r>
      <w:r w:rsidRPr="00CC536B">
        <w:rPr>
          <w:rFonts w:ascii="Centaur" w:hAnsi="Centaur"/>
          <w:sz w:val="22"/>
          <w:szCs w:val="22"/>
        </w:rPr>
        <w:t xml:space="preserve"> A. Petrucci, s.v. </w:t>
      </w:r>
      <w:r w:rsidRPr="00CC536B">
        <w:rPr>
          <w:rFonts w:ascii="Centaur" w:hAnsi="Centaur"/>
          <w:i/>
          <w:iCs/>
          <w:sz w:val="22"/>
          <w:szCs w:val="22"/>
        </w:rPr>
        <w:t>Epigrafe</w:t>
      </w:r>
      <w:r w:rsidRPr="00CC536B">
        <w:rPr>
          <w:rFonts w:ascii="Centaur" w:hAnsi="Centaur"/>
          <w:sz w:val="22"/>
          <w:szCs w:val="22"/>
        </w:rPr>
        <w:t xml:space="preserve">, in </w:t>
      </w:r>
      <w:r w:rsidRPr="00CC536B">
        <w:rPr>
          <w:rFonts w:ascii="Centaur" w:hAnsi="Centaur"/>
          <w:i/>
          <w:iCs/>
          <w:sz w:val="22"/>
          <w:szCs w:val="22"/>
        </w:rPr>
        <w:t xml:space="preserve">Enciclopedia dell'Arte Medievale, </w:t>
      </w:r>
      <w:r w:rsidRPr="00CC536B">
        <w:rPr>
          <w:rFonts w:ascii="Centaur" w:hAnsi="Centaur"/>
          <w:sz w:val="22"/>
          <w:szCs w:val="22"/>
        </w:rPr>
        <w:t>V, Roma 1994, pp. 819-825</w:t>
      </w:r>
      <w:r w:rsidR="00CC536B" w:rsidRPr="00CC536B">
        <w:rPr>
          <w:rFonts w:ascii="Centaur" w:hAnsi="Centaur"/>
          <w:sz w:val="22"/>
          <w:szCs w:val="22"/>
        </w:rPr>
        <w:t>;</w:t>
      </w:r>
      <w:r w:rsidRPr="00CC536B">
        <w:rPr>
          <w:rFonts w:ascii="Centaur" w:hAnsi="Centaur"/>
          <w:sz w:val="22"/>
          <w:szCs w:val="22"/>
        </w:rPr>
        <w:t xml:space="preserve">  </w:t>
      </w:r>
      <w:r w:rsidR="00CC536B" w:rsidRPr="00CC536B">
        <w:rPr>
          <w:rFonts w:ascii="Centaur" w:hAnsi="Centaur" w:cstheme="minorHAnsi"/>
          <w:sz w:val="22"/>
          <w:szCs w:val="22"/>
          <w:lang w:eastAsia="ar-SA"/>
        </w:rPr>
        <w:t xml:space="preserve">R. Favreau, </w:t>
      </w:r>
      <w:r w:rsidR="00CC536B" w:rsidRPr="00CC536B">
        <w:rPr>
          <w:rFonts w:ascii="Centaur" w:hAnsi="Centaur" w:cstheme="minorHAnsi"/>
          <w:i/>
          <w:iCs/>
          <w:sz w:val="22"/>
          <w:szCs w:val="22"/>
          <w:lang w:eastAsia="ar-SA"/>
        </w:rPr>
        <w:t>Épigraphie médiévale</w:t>
      </w:r>
      <w:r w:rsidR="00CC536B" w:rsidRPr="00CC536B">
        <w:rPr>
          <w:rFonts w:ascii="Centaur" w:hAnsi="Centaur" w:cstheme="minorHAnsi"/>
          <w:sz w:val="22"/>
          <w:szCs w:val="22"/>
          <w:lang w:eastAsia="ar-SA"/>
        </w:rPr>
        <w:t>, Brepols, Turnhout 1997, pp. 5-27; 57-89; 113-139.</w:t>
      </w:r>
      <w:r w:rsidR="00CC536B" w:rsidRPr="00CC536B">
        <w:rPr>
          <w:rFonts w:ascii="Centaur" w:hAnsi="Centaur" w:cstheme="minorHAnsi"/>
          <w:sz w:val="22"/>
          <w:szCs w:val="22"/>
          <w:lang w:eastAsia="ar-SA"/>
        </w:rPr>
        <w:t xml:space="preserve"> </w:t>
      </w:r>
      <w:r w:rsidR="005B6ADD" w:rsidRPr="00CC536B">
        <w:rPr>
          <w:rFonts w:ascii="Centaur" w:hAnsi="Centaur"/>
          <w:b/>
          <w:sz w:val="22"/>
          <w:szCs w:val="22"/>
        </w:rPr>
        <w:t xml:space="preserve">Letture </w:t>
      </w:r>
      <w:r w:rsidR="00D162E7" w:rsidRPr="00CC536B">
        <w:rPr>
          <w:rFonts w:ascii="Centaur" w:hAnsi="Centaur"/>
          <w:b/>
          <w:sz w:val="22"/>
          <w:szCs w:val="22"/>
        </w:rPr>
        <w:t>consigliat</w:t>
      </w:r>
      <w:r w:rsidR="005B6ADD" w:rsidRPr="00CC536B">
        <w:rPr>
          <w:rFonts w:ascii="Centaur" w:hAnsi="Centaur"/>
          <w:b/>
          <w:sz w:val="22"/>
          <w:szCs w:val="22"/>
        </w:rPr>
        <w:t>e</w:t>
      </w:r>
      <w:r w:rsidR="00D162E7" w:rsidRPr="00CC536B">
        <w:rPr>
          <w:rFonts w:ascii="Centaur" w:hAnsi="Centaur"/>
          <w:b/>
          <w:sz w:val="22"/>
          <w:szCs w:val="22"/>
        </w:rPr>
        <w:t xml:space="preserve">: </w:t>
      </w:r>
      <w:r w:rsidR="00D162E7" w:rsidRPr="00CC536B">
        <w:rPr>
          <w:rFonts w:ascii="Centaur" w:hAnsi="Centaur"/>
          <w:sz w:val="22"/>
          <w:szCs w:val="22"/>
        </w:rPr>
        <w:t xml:space="preserve">A. Petrucci, </w:t>
      </w:r>
      <w:r w:rsidR="00D162E7" w:rsidRPr="00CC536B">
        <w:rPr>
          <w:rFonts w:ascii="Centaur" w:hAnsi="Centaur"/>
          <w:i/>
          <w:iCs/>
          <w:sz w:val="22"/>
          <w:szCs w:val="22"/>
        </w:rPr>
        <w:t>Le scritture ultime. Ideologie della morte e strategie dello scrivere nella tradizione occidentale</w:t>
      </w:r>
      <w:r w:rsidR="00D162E7" w:rsidRPr="00CC536B">
        <w:rPr>
          <w:rFonts w:ascii="Centaur" w:hAnsi="Centaur"/>
          <w:sz w:val="22"/>
          <w:szCs w:val="22"/>
        </w:rPr>
        <w:t xml:space="preserve">, Torino, Einaudi 1995, pp. xiii-94; </w:t>
      </w:r>
      <w:r w:rsidR="00D162E7" w:rsidRPr="00CC536B">
        <w:rPr>
          <w:rFonts w:ascii="Centaur" w:hAnsi="Centaur"/>
          <w:i/>
          <w:sz w:val="22"/>
          <w:szCs w:val="22"/>
        </w:rPr>
        <w:t xml:space="preserve">Inscriptiones Christianae Italiae, </w:t>
      </w:r>
      <w:r w:rsidR="00D162E7" w:rsidRPr="00CC536B">
        <w:rPr>
          <w:rFonts w:ascii="Centaur" w:hAnsi="Centaur"/>
          <w:sz w:val="22"/>
          <w:szCs w:val="22"/>
        </w:rPr>
        <w:t xml:space="preserve">XIII. </w:t>
      </w:r>
      <w:r w:rsidR="00D162E7" w:rsidRPr="00CC536B">
        <w:rPr>
          <w:rFonts w:ascii="Centaur" w:hAnsi="Centaur"/>
          <w:i/>
          <w:sz w:val="22"/>
          <w:szCs w:val="22"/>
        </w:rPr>
        <w:t xml:space="preserve">Apulia et Calabria, </w:t>
      </w:r>
      <w:r w:rsidR="00D162E7" w:rsidRPr="00CC536B">
        <w:rPr>
          <w:rFonts w:ascii="Centaur" w:hAnsi="Centaur"/>
          <w:sz w:val="22"/>
          <w:szCs w:val="22"/>
        </w:rPr>
        <w:t xml:space="preserve">ed. D. Nuzzo, Bari 2011; A. E. Felle, </w:t>
      </w:r>
      <w:r w:rsidR="00D162E7" w:rsidRPr="00CC536B">
        <w:rPr>
          <w:rFonts w:ascii="Centaur" w:hAnsi="Centaur"/>
          <w:i/>
          <w:iCs/>
          <w:sz w:val="22"/>
          <w:szCs w:val="22"/>
        </w:rPr>
        <w:t>La documentazione epigrafica latina nella Puglia altomedievale: stato dell’arte, metodi, prospettive</w:t>
      </w:r>
      <w:r w:rsidR="00D162E7" w:rsidRPr="00CC536B">
        <w:rPr>
          <w:rFonts w:ascii="Centaur" w:hAnsi="Centaur"/>
          <w:iCs/>
          <w:sz w:val="22"/>
          <w:szCs w:val="22"/>
        </w:rPr>
        <w:t xml:space="preserve">, in </w:t>
      </w:r>
      <w:r w:rsidR="00D162E7" w:rsidRPr="00CC536B">
        <w:rPr>
          <w:rFonts w:ascii="Centaur" w:hAnsi="Centaur"/>
          <w:i/>
          <w:sz w:val="22"/>
          <w:szCs w:val="22"/>
        </w:rPr>
        <w:t>Bizantini, Longobardi e Arabi in Puglia nell’Alto Medioevo. Atti del  XX Congresso Internazionale di Studio del Centro Italiano di Studi sull’Alto Medioevo di Spoleto</w:t>
      </w:r>
      <w:r w:rsidR="00D162E7" w:rsidRPr="00CC536B">
        <w:rPr>
          <w:rFonts w:ascii="Centaur" w:hAnsi="Centaur"/>
          <w:sz w:val="22"/>
          <w:szCs w:val="22"/>
        </w:rPr>
        <w:t xml:space="preserve"> </w:t>
      </w:r>
      <w:r w:rsidR="00D162E7" w:rsidRPr="00CC536B">
        <w:rPr>
          <w:rFonts w:ascii="Centaur" w:hAnsi="Centaur"/>
          <w:i/>
          <w:sz w:val="22"/>
          <w:szCs w:val="22"/>
        </w:rPr>
        <w:t>(Savelletri di Fasano (BR),</w:t>
      </w:r>
      <w:r w:rsidR="00D162E7" w:rsidRPr="00CC536B">
        <w:rPr>
          <w:rFonts w:ascii="Centaur" w:hAnsi="Centaur"/>
          <w:sz w:val="22"/>
          <w:szCs w:val="22"/>
        </w:rPr>
        <w:t xml:space="preserve"> </w:t>
      </w:r>
      <w:r w:rsidR="00D162E7" w:rsidRPr="00CC536B">
        <w:rPr>
          <w:rFonts w:ascii="Centaur" w:hAnsi="Centaur"/>
          <w:i/>
          <w:sz w:val="22"/>
          <w:szCs w:val="22"/>
        </w:rPr>
        <w:t>3-6 novembre 2011),</w:t>
      </w:r>
      <w:r w:rsidR="00D162E7" w:rsidRPr="00CC536B">
        <w:rPr>
          <w:rFonts w:ascii="Centaur" w:hAnsi="Centaur"/>
          <w:sz w:val="22"/>
          <w:szCs w:val="22"/>
        </w:rPr>
        <w:t xml:space="preserve"> Spoleto, 2012, 605-630, tavv. I-XXIII</w:t>
      </w:r>
      <w:r w:rsidR="003A2DB8" w:rsidRPr="00CC536B">
        <w:rPr>
          <w:rFonts w:ascii="Centaur" w:hAnsi="Centaur"/>
          <w:sz w:val="22"/>
          <w:szCs w:val="22"/>
        </w:rPr>
        <w:t xml:space="preserve">; A. E. Felle, </w:t>
      </w:r>
      <w:r w:rsidR="003A2DB8" w:rsidRPr="00CC536B">
        <w:rPr>
          <w:rFonts w:ascii="Centaur" w:hAnsi="Centaur"/>
          <w:i/>
          <w:sz w:val="22"/>
          <w:szCs w:val="22"/>
        </w:rPr>
        <w:t>U</w:t>
      </w:r>
      <w:r w:rsidR="005B6ADD" w:rsidRPr="00CC536B">
        <w:rPr>
          <w:rFonts w:ascii="Centaur" w:hAnsi="Centaur"/>
          <w:i/>
          <w:sz w:val="22"/>
          <w:szCs w:val="22"/>
        </w:rPr>
        <w:t>n bilancio per l'EDB. Progressi, problemi, prospettive</w:t>
      </w:r>
      <w:r w:rsidR="005B6ADD" w:rsidRPr="00CC536B">
        <w:rPr>
          <w:rFonts w:ascii="Centaur" w:hAnsi="Centaur"/>
          <w:iCs/>
          <w:sz w:val="22"/>
          <w:szCs w:val="22"/>
        </w:rPr>
        <w:t xml:space="preserve">, in S. Antolini - S.M. Marengo - G. Paci (a cura di), </w:t>
      </w:r>
      <w:r w:rsidR="005B6ADD" w:rsidRPr="00CC536B">
        <w:rPr>
          <w:rFonts w:ascii="Centaur" w:hAnsi="Centaur"/>
          <w:i/>
          <w:sz w:val="22"/>
          <w:szCs w:val="22"/>
        </w:rPr>
        <w:t xml:space="preserve">Colonie e municipi nell’era digitale. Documentazione epigrafica per la conoscenza delle città antiche  (Macerata, 10-12 dicembre 2015) </w:t>
      </w:r>
      <w:r w:rsidR="005B6ADD" w:rsidRPr="00CC536B">
        <w:rPr>
          <w:rFonts w:ascii="Centaur" w:hAnsi="Centaur"/>
          <w:iCs/>
          <w:sz w:val="22"/>
          <w:szCs w:val="22"/>
        </w:rPr>
        <w:t>[</w:t>
      </w:r>
      <w:r w:rsidR="005B6ADD" w:rsidRPr="00CC536B">
        <w:rPr>
          <w:rFonts w:ascii="Centaur" w:hAnsi="Centaur"/>
          <w:i/>
          <w:sz w:val="22"/>
          <w:szCs w:val="22"/>
        </w:rPr>
        <w:t>Ichnia</w:t>
      </w:r>
      <w:r w:rsidR="005B6ADD" w:rsidRPr="00CC536B">
        <w:rPr>
          <w:rFonts w:ascii="Centaur" w:hAnsi="Centaur"/>
          <w:iCs/>
          <w:sz w:val="22"/>
          <w:szCs w:val="22"/>
        </w:rPr>
        <w:t>, 14], Tivoli 2017, pp. 179-200</w:t>
      </w:r>
      <w:r w:rsidR="003A2DB8" w:rsidRPr="00CC536B">
        <w:rPr>
          <w:rFonts w:ascii="Centaur" w:hAnsi="Centaur"/>
          <w:iCs/>
          <w:sz w:val="22"/>
          <w:szCs w:val="22"/>
        </w:rPr>
        <w:t xml:space="preserve">; A. E. Felle, </w:t>
      </w:r>
      <w:r w:rsidR="005B6ADD" w:rsidRPr="00CC536B">
        <w:rPr>
          <w:rFonts w:ascii="Centaur" w:hAnsi="Centaur"/>
          <w:i/>
          <w:iCs/>
          <w:sz w:val="22"/>
          <w:szCs w:val="22"/>
        </w:rPr>
        <w:t xml:space="preserve">Casi di epigrafi funerarie 'non esposte': alcune considerazioni, </w:t>
      </w:r>
      <w:r w:rsidR="005B6ADD" w:rsidRPr="00CC536B">
        <w:rPr>
          <w:rFonts w:ascii="Centaur" w:hAnsi="Centaur"/>
          <w:sz w:val="22"/>
          <w:szCs w:val="22"/>
        </w:rPr>
        <w:t xml:space="preserve">in </w:t>
      </w:r>
      <w:r w:rsidR="005B6ADD" w:rsidRPr="00CC536B">
        <w:rPr>
          <w:rFonts w:ascii="Centaur" w:hAnsi="Centaur"/>
          <w:i/>
          <w:iCs/>
          <w:sz w:val="22"/>
          <w:szCs w:val="22"/>
        </w:rPr>
        <w:t>Studi Medievali</w:t>
      </w:r>
      <w:r w:rsidR="005B6ADD" w:rsidRPr="00CC536B">
        <w:rPr>
          <w:rFonts w:ascii="Centaur" w:hAnsi="Centaur"/>
          <w:sz w:val="22"/>
          <w:szCs w:val="22"/>
        </w:rPr>
        <w:t xml:space="preserve"> (ser. III), 58, 2017, 579-606, tavv. I-XIV</w:t>
      </w:r>
      <w:r w:rsidR="003A2DB8" w:rsidRPr="00CC536B">
        <w:rPr>
          <w:rFonts w:ascii="Centaur" w:hAnsi="Centaur"/>
          <w:sz w:val="22"/>
          <w:szCs w:val="22"/>
        </w:rPr>
        <w:t>.</w:t>
      </w:r>
    </w:p>
    <w:p w:rsidR="00D162E7" w:rsidRPr="00CC536B" w:rsidRDefault="00D162E7" w:rsidP="00D162E7">
      <w:pPr>
        <w:pStyle w:val="Corpotesto"/>
        <w:spacing w:after="0"/>
        <w:ind w:left="540"/>
        <w:rPr>
          <w:rFonts w:ascii="Centaur" w:hAnsi="Centaur"/>
          <w:sz w:val="22"/>
        </w:rPr>
      </w:pPr>
      <w:r w:rsidRPr="00CC536B">
        <w:rPr>
          <w:rFonts w:ascii="Centaur" w:hAnsi="Centaur"/>
          <w:b/>
          <w:sz w:val="22"/>
        </w:rPr>
        <w:t xml:space="preserve">III. </w:t>
      </w:r>
      <w:r w:rsidRPr="00CC536B">
        <w:rPr>
          <w:rFonts w:ascii="Centaur" w:hAnsi="Centaur"/>
          <w:sz w:val="22"/>
        </w:rPr>
        <w:t xml:space="preserve">Siti: </w:t>
      </w:r>
      <w:r w:rsidRPr="00CC536B">
        <w:rPr>
          <w:rFonts w:ascii="Centaur" w:hAnsi="Centaur"/>
          <w:i/>
          <w:sz w:val="22"/>
        </w:rPr>
        <w:t>Europeana network of ancient Greek and Latin Epigraphy</w:t>
      </w:r>
      <w:r w:rsidRPr="00CC536B">
        <w:rPr>
          <w:rFonts w:ascii="Centaur" w:hAnsi="Centaur"/>
          <w:sz w:val="22"/>
        </w:rPr>
        <w:t xml:space="preserve"> (progetto europeo EAGLE): http:// www.eagle-network.eu; </w:t>
      </w:r>
      <w:r w:rsidRPr="00CC536B">
        <w:rPr>
          <w:rFonts w:ascii="Centaur" w:hAnsi="Centaur"/>
          <w:i/>
          <w:sz w:val="22"/>
        </w:rPr>
        <w:t>Epigraphic Database Bari</w:t>
      </w:r>
      <w:r w:rsidRPr="00CC536B">
        <w:rPr>
          <w:rFonts w:ascii="Centaur" w:hAnsi="Centaur"/>
          <w:sz w:val="22"/>
        </w:rPr>
        <w:t xml:space="preserve"> (</w:t>
      </w:r>
      <w:hyperlink r:id="rId9" w:history="1">
        <w:r w:rsidRPr="00CC536B">
          <w:rPr>
            <w:rStyle w:val="Collegamentoipertestuale"/>
            <w:rFonts w:ascii="Centaur" w:hAnsi="Centaur"/>
            <w:sz w:val="22"/>
          </w:rPr>
          <w:t>http://www.edb.uniba.it</w:t>
        </w:r>
      </w:hyperlink>
      <w:r w:rsidRPr="00CC536B">
        <w:rPr>
          <w:rFonts w:ascii="Centaur" w:hAnsi="Centaur"/>
          <w:sz w:val="22"/>
        </w:rPr>
        <w:t xml:space="preserve">); </w:t>
      </w:r>
      <w:r w:rsidRPr="00CC536B">
        <w:rPr>
          <w:rFonts w:ascii="Centaur" w:hAnsi="Centaur"/>
          <w:i/>
          <w:sz w:val="22"/>
        </w:rPr>
        <w:t>Epigraphic Database Roma</w:t>
      </w:r>
      <w:r w:rsidRPr="00CC536B">
        <w:rPr>
          <w:rFonts w:ascii="Centaur" w:hAnsi="Centaur"/>
          <w:sz w:val="22"/>
        </w:rPr>
        <w:t xml:space="preserve"> (</w:t>
      </w:r>
      <w:hyperlink r:id="rId10" w:history="1">
        <w:r w:rsidRPr="00CC536B">
          <w:rPr>
            <w:rStyle w:val="Collegamentoipertestuale"/>
            <w:rFonts w:ascii="Centaur" w:hAnsi="Centaur"/>
            <w:sz w:val="22"/>
          </w:rPr>
          <w:t>http://www.edr-edr.it</w:t>
        </w:r>
      </w:hyperlink>
      <w:r w:rsidRPr="00CC536B">
        <w:rPr>
          <w:rFonts w:ascii="Centaur" w:hAnsi="Centaur"/>
          <w:sz w:val="22"/>
        </w:rPr>
        <w:t xml:space="preserve">); </w:t>
      </w:r>
      <w:r w:rsidRPr="00CC536B">
        <w:rPr>
          <w:rFonts w:ascii="Centaur" w:hAnsi="Centaur"/>
          <w:i/>
          <w:sz w:val="22"/>
        </w:rPr>
        <w:t>Epigraphische Datenbank Heidelberg</w:t>
      </w:r>
      <w:r w:rsidRPr="00CC536B">
        <w:rPr>
          <w:rFonts w:ascii="Centaur" w:hAnsi="Centaur"/>
          <w:sz w:val="22"/>
        </w:rPr>
        <w:t xml:space="preserve"> </w:t>
      </w:r>
      <w:r w:rsidRPr="00CC536B">
        <w:rPr>
          <w:rFonts w:ascii="Centaur" w:hAnsi="Centaur"/>
          <w:sz w:val="22"/>
          <w:szCs w:val="22"/>
        </w:rPr>
        <w:t>(</w:t>
      </w:r>
      <w:hyperlink r:id="rId11" w:history="1">
        <w:r w:rsidR="005B6ADD" w:rsidRPr="00CC536B">
          <w:rPr>
            <w:rStyle w:val="Collegamentoipertestuale"/>
            <w:rFonts w:ascii="Centaur" w:hAnsi="Centaur"/>
            <w:sz w:val="22"/>
            <w:szCs w:val="22"/>
          </w:rPr>
          <w:t>http://edh-www.adw.uni-heidelberg.de/home/</w:t>
        </w:r>
      </w:hyperlink>
      <w:r w:rsidRPr="00CC536B">
        <w:rPr>
          <w:rFonts w:ascii="Centaur" w:hAnsi="Centaur"/>
          <w:sz w:val="22"/>
          <w:szCs w:val="22"/>
        </w:rPr>
        <w:t xml:space="preserve">). </w:t>
      </w:r>
      <w:r w:rsidRPr="00CC536B">
        <w:rPr>
          <w:rFonts w:ascii="Centaur" w:hAnsi="Centaur"/>
          <w:sz w:val="22"/>
        </w:rPr>
        <w:t>Si consideri</w:t>
      </w:r>
      <w:r w:rsidR="005B6ADD" w:rsidRPr="00CC536B">
        <w:rPr>
          <w:rFonts w:ascii="Centaur" w:hAnsi="Centaur"/>
          <w:sz w:val="22"/>
        </w:rPr>
        <w:t>no</w:t>
      </w:r>
      <w:r w:rsidRPr="00CC536B">
        <w:rPr>
          <w:rFonts w:ascii="Centaur" w:hAnsi="Centaur"/>
          <w:sz w:val="22"/>
        </w:rPr>
        <w:t xml:space="preserve"> anche i continui aggiornamenti sulle ricerche epigrafiche on line in </w:t>
      </w:r>
      <w:r w:rsidRPr="00CC536B">
        <w:rPr>
          <w:rFonts w:ascii="Centaur" w:hAnsi="Centaur"/>
          <w:i/>
          <w:sz w:val="22"/>
        </w:rPr>
        <w:t xml:space="preserve">Current Epigraphy </w:t>
      </w:r>
      <w:r w:rsidRPr="00CC536B">
        <w:rPr>
          <w:rFonts w:ascii="Centaur" w:hAnsi="Centaur"/>
          <w:sz w:val="22"/>
        </w:rPr>
        <w:t>(</w:t>
      </w:r>
      <w:hyperlink r:id="rId12" w:history="1">
        <w:r w:rsidRPr="00CC536B">
          <w:rPr>
            <w:rStyle w:val="Collegamentoipertestuale"/>
            <w:rFonts w:ascii="Centaur" w:hAnsi="Centaur"/>
            <w:sz w:val="22"/>
          </w:rPr>
          <w:t>http://www.currentepigraphy.org/</w:t>
        </w:r>
      </w:hyperlink>
      <w:r w:rsidRPr="00CC536B">
        <w:rPr>
          <w:rFonts w:ascii="Centaur" w:hAnsi="Centaur"/>
          <w:sz w:val="22"/>
        </w:rPr>
        <w:t>) e, sullo standard di edizione elettronica dei documenti epigrafici tardoantichi e medievali, si veda l’</w:t>
      </w:r>
      <w:r w:rsidRPr="00CC536B">
        <w:rPr>
          <w:rFonts w:ascii="Centaur" w:hAnsi="Centaur"/>
          <w:i/>
          <w:sz w:val="22"/>
        </w:rPr>
        <w:t>EpiDoc</w:t>
      </w:r>
      <w:r w:rsidRPr="00CC536B">
        <w:rPr>
          <w:rFonts w:ascii="Centaur" w:hAnsi="Centaur"/>
          <w:sz w:val="22"/>
        </w:rPr>
        <w:t xml:space="preserve"> (cfr. </w:t>
      </w:r>
      <w:hyperlink r:id="rId13" w:history="1">
        <w:r w:rsidRPr="00CC536B">
          <w:rPr>
            <w:rStyle w:val="Collegamentoipertestuale"/>
            <w:rFonts w:ascii="Centaur" w:hAnsi="Centaur"/>
            <w:sz w:val="22"/>
          </w:rPr>
          <w:t>http://epidoc.sourceforge.net/</w:t>
        </w:r>
      </w:hyperlink>
      <w:r w:rsidRPr="00CC536B">
        <w:rPr>
          <w:rFonts w:ascii="Centaur" w:hAnsi="Centaur"/>
          <w:sz w:val="22"/>
        </w:rPr>
        <w:t>).</w:t>
      </w:r>
    </w:p>
    <w:sectPr w:rsidR="00D162E7" w:rsidRPr="00CC536B" w:rsidSect="00AD346E">
      <w:headerReference w:type="even" r:id="rId14"/>
      <w:headerReference w:type="default" r:id="rId15"/>
      <w:footerReference w:type="even" r:id="rId16"/>
      <w:footerReference w:type="default" r:id="rId17"/>
      <w:headerReference w:type="first" r:id="rId18"/>
      <w:footerReference w:type="first" r:id="rId19"/>
      <w:pgSz w:w="11906" w:h="16838"/>
      <w:pgMar w:top="1009" w:right="1134" w:bottom="113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3F4" w:rsidRDefault="004A33F4" w:rsidP="00B43C19">
      <w:pPr>
        <w:spacing w:line="240" w:lineRule="auto"/>
      </w:pPr>
      <w:r>
        <w:separator/>
      </w:r>
    </w:p>
  </w:endnote>
  <w:endnote w:type="continuationSeparator" w:id="0">
    <w:p w:rsidR="004A33F4" w:rsidRDefault="004A33F4" w:rsidP="00B4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aur">
    <w:panose1 w:val="02030504050205020304"/>
    <w:charset w:val="00"/>
    <w:family w:val="roman"/>
    <w:pitch w:val="variable"/>
    <w:sig w:usb0="00000003" w:usb1="00000000" w:usb2="00000000" w:usb3="00000000" w:csb0="00000001" w:csb1="00000000"/>
  </w:font>
  <w:font w:name="Trajan Pro">
    <w:panose1 w:val="02020502050506020301"/>
    <w:charset w:val="00"/>
    <w:family w:val="roman"/>
    <w:pitch w:val="variable"/>
    <w:sig w:usb0="800000AF" w:usb1="5000204B" w:usb2="00000000" w:usb3="00000000" w:csb0="0000009B" w:csb1="00000000"/>
  </w:font>
  <w:font w:name="AmeriGarmnd BT">
    <w:altName w:val="Gentium Plus"/>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6EC" w:rsidRDefault="004566E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46E" w:rsidRDefault="00AD346E" w:rsidP="00B43C19">
    <w:pPr>
      <w:jc w:val="center"/>
      <w:rPr>
        <w:rFonts w:ascii="Trajan Pro" w:hAnsi="Trajan Pro"/>
        <w:color w:val="17365D"/>
        <w:sz w:val="16"/>
        <w:szCs w:val="16"/>
      </w:rPr>
    </w:pPr>
  </w:p>
  <w:p w:rsidR="00B43C19" w:rsidRPr="007B54E2" w:rsidRDefault="00B43C19" w:rsidP="00B43C19">
    <w:pPr>
      <w:jc w:val="center"/>
      <w:rPr>
        <w:rFonts w:ascii="Trajan Pro" w:hAnsi="Trajan Pro"/>
        <w:color w:val="17365D"/>
        <w:sz w:val="16"/>
        <w:szCs w:val="16"/>
      </w:rPr>
    </w:pPr>
    <w:r w:rsidRPr="007B54E2">
      <w:rPr>
        <w:rFonts w:ascii="Trajan Pro" w:hAnsi="Trajan Pro"/>
        <w:color w:val="17365D"/>
        <w:sz w:val="16"/>
        <w:szCs w:val="16"/>
      </w:rPr>
      <w:t>Bari - Palazzo Ateneo –  Piazza Umberto I, 1 70121   BARI -  Tel./Fax 080.5714132</w:t>
    </w:r>
  </w:p>
  <w:p w:rsidR="00B43C19" w:rsidRPr="007B54E2" w:rsidRDefault="004566EC" w:rsidP="00B43C19">
    <w:pPr>
      <w:pStyle w:val="Pidipagina"/>
      <w:jc w:val="center"/>
      <w:rPr>
        <w:rFonts w:ascii="Trajan Pro" w:hAnsi="Trajan Pro"/>
        <w:color w:val="17365D"/>
        <w:sz w:val="18"/>
        <w:szCs w:val="18"/>
      </w:rPr>
    </w:pPr>
    <w:r>
      <w:rPr>
        <w:rFonts w:ascii="Trajan Pro" w:hAnsi="Trajan Pro"/>
        <w:color w:val="17365D"/>
        <w:sz w:val="18"/>
        <w:szCs w:val="18"/>
      </w:rPr>
      <w:t>Direttore</w:t>
    </w:r>
    <w:r w:rsidR="00B43C19" w:rsidRPr="007B54E2">
      <w:rPr>
        <w:rFonts w:ascii="Trajan Pro" w:hAnsi="Trajan Pro"/>
        <w:color w:val="17365D"/>
        <w:sz w:val="18"/>
        <w:szCs w:val="18"/>
      </w:rPr>
      <w:t xml:space="preserve">: prof. </w:t>
    </w:r>
    <w:r>
      <w:rPr>
        <w:rFonts w:ascii="Trajan Pro" w:hAnsi="Trajan Pro"/>
        <w:color w:val="17365D"/>
        <w:sz w:val="18"/>
        <w:szCs w:val="18"/>
      </w:rPr>
      <w:t>Donatella Nuzzo</w:t>
    </w:r>
    <w:r w:rsidR="00B43C19" w:rsidRPr="007B54E2">
      <w:rPr>
        <w:rFonts w:ascii="Trajan Pro" w:hAnsi="Trajan Pro"/>
        <w:color w:val="17365D"/>
        <w:sz w:val="18"/>
        <w:szCs w:val="18"/>
      </w:rPr>
      <w:t xml:space="preserve"> (</w:t>
    </w:r>
    <w:r w:rsidRPr="004566EC">
      <w:rPr>
        <w:rFonts w:ascii="AmeriGarmnd BT" w:hAnsi="AmeriGarmnd BT"/>
        <w:i/>
        <w:color w:val="17365D"/>
        <w:sz w:val="18"/>
        <w:szCs w:val="18"/>
      </w:rPr>
      <w:t>donatella.nuzzo@uniba.it</w:t>
    </w:r>
    <w:r w:rsidR="00B43C19" w:rsidRPr="007B54E2">
      <w:rPr>
        <w:color w:val="17365D"/>
        <w:sz w:val="18"/>
        <w:szCs w:val="18"/>
      </w:rPr>
      <w:t>)</w:t>
    </w:r>
  </w:p>
  <w:p w:rsidR="00B43C19" w:rsidRDefault="00B43C1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6EC" w:rsidRDefault="004566E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3F4" w:rsidRDefault="004A33F4" w:rsidP="00B43C19">
      <w:pPr>
        <w:spacing w:line="240" w:lineRule="auto"/>
      </w:pPr>
      <w:r>
        <w:separator/>
      </w:r>
    </w:p>
  </w:footnote>
  <w:footnote w:type="continuationSeparator" w:id="0">
    <w:p w:rsidR="004A33F4" w:rsidRDefault="004A33F4" w:rsidP="00B43C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6EC" w:rsidRDefault="004566E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F9D" w:rsidRDefault="00B33A8F" w:rsidP="001D2F9D">
    <w:pPr>
      <w:spacing w:line="300" w:lineRule="exact"/>
      <w:ind w:firstLine="0"/>
      <w:jc w:val="right"/>
      <w:rPr>
        <w:rFonts w:ascii="Trajan Pro" w:hAnsi="Trajan Pro"/>
        <w:color w:val="17365D"/>
        <w:spacing w:val="-20"/>
        <w:sz w:val="32"/>
      </w:rPr>
    </w:pPr>
    <w:r>
      <w:rPr>
        <w:rFonts w:ascii="Trajan Pro" w:hAnsi="Trajan Pro"/>
        <w:noProof/>
        <w:color w:val="17365D"/>
        <w:spacing w:val="-20"/>
        <w:sz w:val="32"/>
        <w:lang w:bidi="he-IL"/>
      </w:rPr>
      <w:drawing>
        <wp:anchor distT="0" distB="0" distL="114300" distR="114300" simplePos="0" relativeHeight="251657728" behindDoc="0" locked="0" layoutInCell="1" allowOverlap="1">
          <wp:simplePos x="0" y="0"/>
          <wp:positionH relativeFrom="column">
            <wp:posOffset>-228600</wp:posOffset>
          </wp:positionH>
          <wp:positionV relativeFrom="paragraph">
            <wp:posOffset>-71755</wp:posOffset>
          </wp:positionV>
          <wp:extent cx="2385060" cy="798195"/>
          <wp:effectExtent l="19050" t="0" r="0" b="0"/>
          <wp:wrapTopAndBottom/>
          <wp:docPr id="1" name="Immagine 1"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UNIBA_CMYK"/>
                  <pic:cNvPicPr>
                    <a:picLocks noChangeAspect="1" noChangeArrowheads="1"/>
                  </pic:cNvPicPr>
                </pic:nvPicPr>
                <pic:blipFill>
                  <a:blip r:embed="rId1"/>
                  <a:srcRect/>
                  <a:stretch>
                    <a:fillRect/>
                  </a:stretch>
                </pic:blipFill>
                <pic:spPr bwMode="auto">
                  <a:xfrm>
                    <a:off x="0" y="0"/>
                    <a:ext cx="2385060" cy="798195"/>
                  </a:xfrm>
                  <a:prstGeom prst="rect">
                    <a:avLst/>
                  </a:prstGeom>
                  <a:noFill/>
                </pic:spPr>
              </pic:pic>
            </a:graphicData>
          </a:graphic>
        </wp:anchor>
      </w:drawing>
    </w:r>
    <w:r w:rsidR="001D2F9D" w:rsidRPr="007B54E2">
      <w:rPr>
        <w:rFonts w:ascii="Trajan Pro" w:hAnsi="Trajan Pro"/>
        <w:color w:val="17365D"/>
        <w:spacing w:val="-20"/>
        <w:sz w:val="32"/>
      </w:rPr>
      <w:t xml:space="preserve">Scuola di Specializzazione </w:t>
    </w:r>
  </w:p>
  <w:p w:rsidR="001D2F9D" w:rsidRPr="007B54E2" w:rsidRDefault="001D2F9D" w:rsidP="001D2F9D">
    <w:pPr>
      <w:spacing w:line="300" w:lineRule="exact"/>
      <w:ind w:firstLine="0"/>
      <w:jc w:val="right"/>
      <w:rPr>
        <w:rFonts w:ascii="Trajan Pro" w:hAnsi="Trajan Pro"/>
        <w:color w:val="17365D"/>
        <w:spacing w:val="-20"/>
        <w:sz w:val="32"/>
      </w:rPr>
    </w:pPr>
    <w:r w:rsidRPr="007B54E2">
      <w:rPr>
        <w:rFonts w:ascii="Trajan Pro" w:hAnsi="Trajan Pro"/>
        <w:color w:val="17365D"/>
        <w:spacing w:val="-20"/>
        <w:sz w:val="32"/>
      </w:rPr>
      <w:t>in Beni archeologici</w:t>
    </w:r>
  </w:p>
  <w:p w:rsidR="001D2F9D" w:rsidRPr="007B54E2" w:rsidRDefault="001D2F9D" w:rsidP="001D2F9D">
    <w:pPr>
      <w:spacing w:line="270" w:lineRule="exact"/>
      <w:jc w:val="right"/>
      <w:rPr>
        <w:rFonts w:ascii="Trajan Pro" w:hAnsi="Trajan Pro"/>
        <w:color w:val="17365D"/>
        <w:spacing w:val="-25"/>
        <w:sz w:val="22"/>
        <w:szCs w:val="22"/>
      </w:rPr>
    </w:pPr>
    <w:r w:rsidRPr="007B54E2">
      <w:rPr>
        <w:rFonts w:ascii="Trajan Pro" w:hAnsi="Trajan Pro"/>
        <w:color w:val="17365D"/>
        <w:spacing w:val="-25"/>
        <w:sz w:val="22"/>
        <w:szCs w:val="22"/>
      </w:rPr>
      <w:t>Tipologia Beni Archeologici</w:t>
    </w:r>
  </w:p>
  <w:p w:rsidR="001D2F9D" w:rsidRDefault="001D2F9D" w:rsidP="001D2F9D">
    <w:pPr>
      <w:pStyle w:val="Intestazione"/>
      <w:ind w:firstLine="0"/>
    </w:pPr>
  </w:p>
  <w:p w:rsidR="00B43C19" w:rsidRDefault="00B43C1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6EC" w:rsidRDefault="004566E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F0410"/>
    <w:lvl w:ilvl="0">
      <w:start w:val="1"/>
      <w:numFmt w:val="decimal"/>
      <w:lvlText w:val="%1."/>
      <w:lvlJc w:val="left"/>
      <w:pPr>
        <w:tabs>
          <w:tab w:val="num" w:pos="360"/>
        </w:tabs>
        <w:ind w:left="360" w:hanging="360"/>
      </w:pPr>
    </w:lvl>
  </w:abstractNum>
  <w:abstractNum w:abstractNumId="1" w15:restartNumberingAfterBreak="0">
    <w:nsid w:val="5C25368F"/>
    <w:multiLevelType w:val="hybridMultilevel"/>
    <w:tmpl w:val="13DE87D8"/>
    <w:lvl w:ilvl="0" w:tplc="3466A66C">
      <w:start w:val="2"/>
      <w:numFmt w:val="decimal"/>
      <w:lvlText w:val="%1."/>
      <w:lvlJc w:val="left"/>
      <w:pPr>
        <w:tabs>
          <w:tab w:val="num" w:pos="1381"/>
        </w:tabs>
        <w:ind w:left="-283" w:firstLine="567"/>
      </w:pPr>
      <w:rPr>
        <w:rFonts w:ascii="Arial" w:hAnsi="Arial" w:cs="Times New Roman"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19"/>
    <w:rsid w:val="00022024"/>
    <w:rsid w:val="000572F9"/>
    <w:rsid w:val="00070109"/>
    <w:rsid w:val="00155C19"/>
    <w:rsid w:val="00171907"/>
    <w:rsid w:val="001B7F64"/>
    <w:rsid w:val="001D06A2"/>
    <w:rsid w:val="001D2F9D"/>
    <w:rsid w:val="002232CD"/>
    <w:rsid w:val="00257860"/>
    <w:rsid w:val="00291F19"/>
    <w:rsid w:val="002A4181"/>
    <w:rsid w:val="002B3835"/>
    <w:rsid w:val="002C7483"/>
    <w:rsid w:val="002D3B1D"/>
    <w:rsid w:val="002F7705"/>
    <w:rsid w:val="003101FC"/>
    <w:rsid w:val="00315154"/>
    <w:rsid w:val="003227C5"/>
    <w:rsid w:val="00347EB1"/>
    <w:rsid w:val="00360979"/>
    <w:rsid w:val="00390D9C"/>
    <w:rsid w:val="003A2DB8"/>
    <w:rsid w:val="003C3FBD"/>
    <w:rsid w:val="003F57FB"/>
    <w:rsid w:val="003F7A9B"/>
    <w:rsid w:val="0043141A"/>
    <w:rsid w:val="00434EFC"/>
    <w:rsid w:val="004566EC"/>
    <w:rsid w:val="00463250"/>
    <w:rsid w:val="00473726"/>
    <w:rsid w:val="0049663A"/>
    <w:rsid w:val="0049706A"/>
    <w:rsid w:val="004A33F4"/>
    <w:rsid w:val="004C1638"/>
    <w:rsid w:val="00514EFE"/>
    <w:rsid w:val="00545DAB"/>
    <w:rsid w:val="00560505"/>
    <w:rsid w:val="005852FE"/>
    <w:rsid w:val="005B6ADD"/>
    <w:rsid w:val="005D792E"/>
    <w:rsid w:val="005E2308"/>
    <w:rsid w:val="00603804"/>
    <w:rsid w:val="00640859"/>
    <w:rsid w:val="00672BC2"/>
    <w:rsid w:val="00691AC8"/>
    <w:rsid w:val="006A25B9"/>
    <w:rsid w:val="006D6438"/>
    <w:rsid w:val="006E5F26"/>
    <w:rsid w:val="00713B34"/>
    <w:rsid w:val="00760F13"/>
    <w:rsid w:val="007A3F6F"/>
    <w:rsid w:val="007C5263"/>
    <w:rsid w:val="007C61ED"/>
    <w:rsid w:val="007D7CFA"/>
    <w:rsid w:val="007F78FA"/>
    <w:rsid w:val="00870BB5"/>
    <w:rsid w:val="00870C8D"/>
    <w:rsid w:val="008A03E0"/>
    <w:rsid w:val="008C7E4E"/>
    <w:rsid w:val="008E211F"/>
    <w:rsid w:val="008E7B87"/>
    <w:rsid w:val="009C6FD3"/>
    <w:rsid w:val="00A048DB"/>
    <w:rsid w:val="00A12981"/>
    <w:rsid w:val="00A31B1F"/>
    <w:rsid w:val="00A94E84"/>
    <w:rsid w:val="00AC3118"/>
    <w:rsid w:val="00AD346E"/>
    <w:rsid w:val="00B258D9"/>
    <w:rsid w:val="00B33A8F"/>
    <w:rsid w:val="00B41276"/>
    <w:rsid w:val="00B43C19"/>
    <w:rsid w:val="00B44E3B"/>
    <w:rsid w:val="00B60DD7"/>
    <w:rsid w:val="00B769F9"/>
    <w:rsid w:val="00B84447"/>
    <w:rsid w:val="00BC4108"/>
    <w:rsid w:val="00BD6EEB"/>
    <w:rsid w:val="00C17D1B"/>
    <w:rsid w:val="00C20A41"/>
    <w:rsid w:val="00C45044"/>
    <w:rsid w:val="00CA0000"/>
    <w:rsid w:val="00CC536B"/>
    <w:rsid w:val="00CE28D0"/>
    <w:rsid w:val="00CF1D3F"/>
    <w:rsid w:val="00D162E7"/>
    <w:rsid w:val="00D45C7D"/>
    <w:rsid w:val="00D7071E"/>
    <w:rsid w:val="00DA57A9"/>
    <w:rsid w:val="00E03221"/>
    <w:rsid w:val="00E07BCF"/>
    <w:rsid w:val="00E261EF"/>
    <w:rsid w:val="00E45D86"/>
    <w:rsid w:val="00E83434"/>
    <w:rsid w:val="00ED363A"/>
    <w:rsid w:val="00F55FA7"/>
    <w:rsid w:val="00F70ECD"/>
    <w:rsid w:val="00F71388"/>
    <w:rsid w:val="00F876B5"/>
    <w:rsid w:val="00FE39BC"/>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79EF8A-0E22-41F8-9E57-5A002BCE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3C19"/>
    <w:pPr>
      <w:spacing w:line="360" w:lineRule="auto"/>
      <w:ind w:firstLine="709"/>
      <w:jc w:val="both"/>
    </w:pPr>
    <w:rPr>
      <w:rFonts w:ascii="Palatino Linotype" w:eastAsia="Times New Roman" w:hAnsi="Palatino Linotype"/>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43C1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43C19"/>
    <w:rPr>
      <w:rFonts w:ascii="Palatino Linotype" w:eastAsia="Times New Roman" w:hAnsi="Palatino Linotype" w:cs="Times New Roman"/>
      <w:sz w:val="24"/>
      <w:szCs w:val="20"/>
      <w:lang w:eastAsia="it-IT"/>
    </w:rPr>
  </w:style>
  <w:style w:type="paragraph" w:styleId="Pidipagina">
    <w:name w:val="footer"/>
    <w:basedOn w:val="Normale"/>
    <w:link w:val="PidipaginaCarattere"/>
    <w:uiPriority w:val="99"/>
    <w:unhideWhenUsed/>
    <w:rsid w:val="00B43C1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43C19"/>
    <w:rPr>
      <w:rFonts w:ascii="Palatino Linotype" w:eastAsia="Times New Roman" w:hAnsi="Palatino Linotype" w:cs="Times New Roman"/>
      <w:sz w:val="24"/>
      <w:szCs w:val="20"/>
      <w:lang w:eastAsia="it-IT"/>
    </w:rPr>
  </w:style>
  <w:style w:type="character" w:styleId="Collegamentoipertestuale">
    <w:name w:val="Hyperlink"/>
    <w:basedOn w:val="Carpredefinitoparagrafo"/>
    <w:rsid w:val="00B43C19"/>
    <w:rPr>
      <w:color w:val="0000FF"/>
      <w:u w:val="single"/>
    </w:rPr>
  </w:style>
  <w:style w:type="paragraph" w:styleId="Testofumetto">
    <w:name w:val="Balloon Text"/>
    <w:basedOn w:val="Normale"/>
    <w:link w:val="TestofumettoCarattere"/>
    <w:uiPriority w:val="99"/>
    <w:semiHidden/>
    <w:unhideWhenUsed/>
    <w:rsid w:val="00B43C1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3C19"/>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640859"/>
    <w:pPr>
      <w:spacing w:line="240" w:lineRule="auto"/>
      <w:ind w:firstLine="0"/>
    </w:pPr>
    <w:rPr>
      <w:rFonts w:ascii="Times New Roman" w:hAnsi="Times New Roman"/>
      <w:sz w:val="20"/>
    </w:rPr>
  </w:style>
  <w:style w:type="character" w:customStyle="1" w:styleId="TestonotaapidipaginaCarattere">
    <w:name w:val="Testo nota a piè di pagina Carattere"/>
    <w:basedOn w:val="Carpredefinitoparagrafo"/>
    <w:link w:val="Testonotaapidipagina"/>
    <w:rsid w:val="00640859"/>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semiHidden/>
    <w:rsid w:val="004C1638"/>
    <w:pPr>
      <w:spacing w:after="120" w:line="240" w:lineRule="auto"/>
      <w:ind w:firstLine="720"/>
    </w:pPr>
    <w:rPr>
      <w:rFonts w:ascii="Times New Roman" w:hAnsi="Times New Roman"/>
    </w:rPr>
  </w:style>
  <w:style w:type="character" w:customStyle="1" w:styleId="RientrocorpodeltestoCarattere">
    <w:name w:val="Rientro corpo del testo Carattere"/>
    <w:basedOn w:val="Carpredefinitoparagrafo"/>
    <w:link w:val="Rientrocorpodeltesto"/>
    <w:semiHidden/>
    <w:rsid w:val="004C1638"/>
    <w:rPr>
      <w:rFonts w:ascii="Times New Roman" w:eastAsia="Times New Roman" w:hAnsi="Times New Roman"/>
      <w:sz w:val="24"/>
    </w:rPr>
  </w:style>
  <w:style w:type="paragraph" w:styleId="Corpotesto">
    <w:name w:val="Body Text"/>
    <w:basedOn w:val="Normale"/>
    <w:link w:val="CorpotestoCarattere"/>
    <w:semiHidden/>
    <w:rsid w:val="004C1638"/>
    <w:pPr>
      <w:spacing w:after="240" w:line="240" w:lineRule="auto"/>
      <w:ind w:firstLine="0"/>
    </w:pPr>
    <w:rPr>
      <w:rFonts w:ascii="Times New Roman" w:hAnsi="Times New Roman"/>
      <w:szCs w:val="24"/>
    </w:rPr>
  </w:style>
  <w:style w:type="character" w:customStyle="1" w:styleId="CorpotestoCarattere">
    <w:name w:val="Corpo testo Carattere"/>
    <w:basedOn w:val="Carpredefinitoparagrafo"/>
    <w:link w:val="Corpotesto"/>
    <w:semiHidden/>
    <w:rsid w:val="004C1638"/>
    <w:rPr>
      <w:rFonts w:ascii="Times New Roman" w:eastAsia="Times New Roman" w:hAnsi="Times New Roman"/>
      <w:sz w:val="24"/>
      <w:szCs w:val="24"/>
    </w:rPr>
  </w:style>
  <w:style w:type="paragraph" w:styleId="Titolo">
    <w:name w:val="Title"/>
    <w:basedOn w:val="Normale"/>
    <w:next w:val="Normale"/>
    <w:link w:val="TitoloCarattere"/>
    <w:uiPriority w:val="10"/>
    <w:qFormat/>
    <w:rsid w:val="005B6A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B6AD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03133">
      <w:bodyDiv w:val="1"/>
      <w:marLeft w:val="0"/>
      <w:marRight w:val="0"/>
      <w:marTop w:val="0"/>
      <w:marBottom w:val="0"/>
      <w:divBdr>
        <w:top w:val="none" w:sz="0" w:space="0" w:color="auto"/>
        <w:left w:val="none" w:sz="0" w:space="0" w:color="auto"/>
        <w:bottom w:val="none" w:sz="0" w:space="0" w:color="auto"/>
        <w:right w:val="none" w:sz="0" w:space="0" w:color="auto"/>
      </w:divBdr>
    </w:div>
    <w:div w:id="950163939">
      <w:bodyDiv w:val="1"/>
      <w:marLeft w:val="0"/>
      <w:marRight w:val="0"/>
      <w:marTop w:val="0"/>
      <w:marBottom w:val="0"/>
      <w:divBdr>
        <w:top w:val="none" w:sz="0" w:space="0" w:color="auto"/>
        <w:left w:val="none" w:sz="0" w:space="0" w:color="auto"/>
        <w:bottom w:val="none" w:sz="0" w:space="0" w:color="auto"/>
        <w:right w:val="none" w:sz="0" w:space="0" w:color="auto"/>
      </w:divBdr>
    </w:div>
    <w:div w:id="1806778794">
      <w:bodyDiv w:val="1"/>
      <w:marLeft w:val="0"/>
      <w:marRight w:val="0"/>
      <w:marTop w:val="0"/>
      <w:marBottom w:val="0"/>
      <w:divBdr>
        <w:top w:val="none" w:sz="0" w:space="0" w:color="auto"/>
        <w:left w:val="none" w:sz="0" w:space="0" w:color="auto"/>
        <w:bottom w:val="none" w:sz="0" w:space="0" w:color="auto"/>
        <w:right w:val="none" w:sz="0" w:space="0" w:color="auto"/>
      </w:divBdr>
    </w:div>
    <w:div w:id="19240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r-edr.it/Download/EDR%20-%20Manuale%20v.1.pdf" TargetMode="External"/><Relationship Id="rId13" Type="http://schemas.openxmlformats.org/officeDocument/2006/relationships/hyperlink" Target="http://epidoc.sourceforge.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urrentepigraphy.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h-www.adw.uni-heidelberg.de/hom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dr-edr.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db.uniba.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68DBD-FE5C-46EC-955E-528765F6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621</Words>
  <Characters>3546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4159</CharactersWithSpaces>
  <SharedDoc>false</SharedDoc>
  <HLinks>
    <vt:vector size="48" baseType="variant">
      <vt:variant>
        <vt:i4>7471216</vt:i4>
      </vt:variant>
      <vt:variant>
        <vt:i4>15</vt:i4>
      </vt:variant>
      <vt:variant>
        <vt:i4>0</vt:i4>
      </vt:variant>
      <vt:variant>
        <vt:i4>5</vt:i4>
      </vt:variant>
      <vt:variant>
        <vt:lpwstr>http://epidoc.sourceforge.net/</vt:lpwstr>
      </vt:variant>
      <vt:variant>
        <vt:lpwstr/>
      </vt:variant>
      <vt:variant>
        <vt:i4>4587590</vt:i4>
      </vt:variant>
      <vt:variant>
        <vt:i4>12</vt:i4>
      </vt:variant>
      <vt:variant>
        <vt:i4>0</vt:i4>
      </vt:variant>
      <vt:variant>
        <vt:i4>5</vt:i4>
      </vt:variant>
      <vt:variant>
        <vt:lpwstr>http://www.currentepigraphy.org/</vt:lpwstr>
      </vt:variant>
      <vt:variant>
        <vt:lpwstr/>
      </vt:variant>
      <vt:variant>
        <vt:i4>1638430</vt:i4>
      </vt:variant>
      <vt:variant>
        <vt:i4>9</vt:i4>
      </vt:variant>
      <vt:variant>
        <vt:i4>0</vt:i4>
      </vt:variant>
      <vt:variant>
        <vt:i4>5</vt:i4>
      </vt:variant>
      <vt:variant>
        <vt:lpwstr>http://www.uni-heidelberg.de/institute/sonst/adw/edh/</vt:lpwstr>
      </vt:variant>
      <vt:variant>
        <vt:lpwstr/>
      </vt:variant>
      <vt:variant>
        <vt:i4>7143463</vt:i4>
      </vt:variant>
      <vt:variant>
        <vt:i4>6</vt:i4>
      </vt:variant>
      <vt:variant>
        <vt:i4>0</vt:i4>
      </vt:variant>
      <vt:variant>
        <vt:i4>5</vt:i4>
      </vt:variant>
      <vt:variant>
        <vt:lpwstr>http://www.edr-edr.it/</vt:lpwstr>
      </vt:variant>
      <vt:variant>
        <vt:lpwstr/>
      </vt:variant>
      <vt:variant>
        <vt:i4>1507404</vt:i4>
      </vt:variant>
      <vt:variant>
        <vt:i4>3</vt:i4>
      </vt:variant>
      <vt:variant>
        <vt:i4>0</vt:i4>
      </vt:variant>
      <vt:variant>
        <vt:i4>5</vt:i4>
      </vt:variant>
      <vt:variant>
        <vt:lpwstr>http://www.edb.uniba.it/</vt:lpwstr>
      </vt:variant>
      <vt:variant>
        <vt:lpwstr/>
      </vt:variant>
      <vt:variant>
        <vt:i4>720974</vt:i4>
      </vt:variant>
      <vt:variant>
        <vt:i4>0</vt:i4>
      </vt:variant>
      <vt:variant>
        <vt:i4>0</vt:i4>
      </vt:variant>
      <vt:variant>
        <vt:i4>5</vt:i4>
      </vt:variant>
      <vt:variant>
        <vt:lpwstr>http://www.edr-edr.it/Download/EDR - Manuale v.1.pdf</vt:lpwstr>
      </vt:variant>
      <vt:variant>
        <vt:lpwstr/>
      </vt:variant>
      <vt:variant>
        <vt:i4>2621444</vt:i4>
      </vt:variant>
      <vt:variant>
        <vt:i4>3</vt:i4>
      </vt:variant>
      <vt:variant>
        <vt:i4>0</vt:i4>
      </vt:variant>
      <vt:variant>
        <vt:i4>5</vt:i4>
      </vt:variant>
      <vt:variant>
        <vt:lpwstr>mailto:p.palmentola@lettere.uniba.it</vt:lpwstr>
      </vt:variant>
      <vt:variant>
        <vt:lpwstr/>
      </vt:variant>
      <vt:variant>
        <vt:i4>6291531</vt:i4>
      </vt:variant>
      <vt:variant>
        <vt:i4>0</vt:i4>
      </vt:variant>
      <vt:variant>
        <vt:i4>0</vt:i4>
      </vt:variant>
      <vt:variant>
        <vt:i4>5</vt:i4>
      </vt:variant>
      <vt:variant>
        <vt:lpwstr>mailto:ae.felle@dscc.uniba.it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AEF</cp:lastModifiedBy>
  <cp:revision>2</cp:revision>
  <dcterms:created xsi:type="dcterms:W3CDTF">2020-01-15T11:03:00Z</dcterms:created>
  <dcterms:modified xsi:type="dcterms:W3CDTF">2020-01-15T11:03:00Z</dcterms:modified>
</cp:coreProperties>
</file>