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1"/>
        <w:gridCol w:w="1767"/>
        <w:gridCol w:w="2483"/>
        <w:gridCol w:w="1513"/>
      </w:tblGrid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b w:val="1"/>
                <w:bCs w:val="1"/>
                <w:shd w:val="clear" w:color="auto" w:fill="ff0000"/>
                <w:rtl w:val="0"/>
                <w:lang w:val="it-IT"/>
              </w:rPr>
              <w:t>Principali informazioni sull</w:t>
            </w:r>
            <w:r>
              <w:rPr>
                <w:rFonts w:ascii="Gill Sans MT" w:cs="Gill Sans MT" w:hAnsi="Gill Sans MT" w:eastAsia="Gill Sans MT"/>
                <w:b w:val="1"/>
                <w:bCs w:val="1"/>
                <w:shd w:val="clear" w:color="auto" w:fill="ff0000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b w:val="1"/>
                <w:bCs w:val="1"/>
                <w:shd w:val="clear" w:color="auto" w:fill="ff0000"/>
                <w:rtl w:val="0"/>
                <w:lang w:val="it-IT"/>
              </w:rPr>
              <w:t>insegnamento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rtl w:val="0"/>
                <w:lang w:val="it-IT"/>
              </w:rPr>
              <w:t>Titolo insegnamento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Storia della critica d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arte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rtl w:val="0"/>
                <w:lang w:val="it-IT"/>
              </w:rPr>
              <w:t>Corso di studio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Storia dell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Arte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rtl w:val="0"/>
                <w:lang w:val="it-IT"/>
              </w:rPr>
              <w:t>Crediti formativi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rtl w:val="0"/>
                <w:lang w:val="it-IT"/>
              </w:rPr>
              <w:t>Denominazione inglese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Fonts w:ascii="Times" w:hAnsi="Times"/>
                <w:sz w:val="22"/>
                <w:szCs w:val="22"/>
                <w:rtl w:val="0"/>
                <w:lang w:val="en-US"/>
              </w:rPr>
              <w:t xml:space="preserve">History of Art Criticism 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Gill Sans MT" w:cs="Gill Sans MT" w:hAnsi="Gill Sans MT" w:eastAsia="Gill Sans MT"/>
                <w:rtl w:val="0"/>
                <w:lang w:val="it-IT"/>
              </w:rPr>
              <w:t>Obbligo di frequenza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after="0" w:line="240" w:lineRule="auto"/>
              <w:jc w:val="both"/>
              <w:rPr>
                <w:rFonts w:ascii="Gill Sans MT" w:cs="Gill Sans MT" w:hAnsi="Gill Sans MT" w:eastAsia="Gill Sans MT"/>
                <w:sz w:val="22"/>
                <w:szCs w:val="22"/>
              </w:rPr>
            </w:pP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L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obbligo di frequenza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è </w:t>
            </w:r>
            <w:r>
              <w:rPr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disciplinato dal Regolamento didattico del CdS</w:t>
            </w:r>
          </w:p>
          <w:p>
            <w:pPr>
              <w:pStyle w:val="Heading 4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Gill Sans MT" w:cs="Gill Sans MT" w:hAnsi="Gill Sans MT" w:eastAsia="Gill Sans MT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sz w:val="22"/>
                <w:szCs w:val="22"/>
                <w:u w:val="single"/>
                <w:lang w:val="it-IT"/>
              </w:rPr>
              <w:instrText xml:space="preserve"> HYPERLINK "http://www.uniba.it/corsi/filosofia/presentazione-del-corso/regolamento-del-corso"</w:instrText>
            </w:r>
            <w:r>
              <w:rPr>
                <w:rStyle w:val="Hyperlink.0"/>
                <w:rFonts w:ascii="Gill Sans MT" w:cs="Gill Sans MT" w:hAnsi="Gill Sans MT" w:eastAsia="Gill Sans MT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sz w:val="22"/>
                <w:szCs w:val="22"/>
                <w:u w:val="single"/>
                <w:rtl w:val="0"/>
                <w:lang w:val="it-IT"/>
              </w:rPr>
              <w:t>http://www.uniba.it/corsi/filosofia/presentazione-del-corso/regolamento-del-corso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Lingua di erogazione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Italiano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Docente responsabile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Nome Cognome</w:t>
            </w:r>
          </w:p>
        </w:tc>
        <w:tc>
          <w:tcPr>
            <w:tcW w:type="dxa" w:w="3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Indirizzo Mail</w:t>
            </w:r>
          </w:p>
        </w:tc>
      </w:tr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Maristella Trombetta</w:t>
            </w:r>
          </w:p>
        </w:tc>
        <w:tc>
          <w:tcPr>
            <w:tcW w:type="dxa" w:w="3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"mailto:maristella.trombetta@uniba.it"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it-IT"/>
              </w:rPr>
              <w:t>maristella.trombetta@uniba.it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Dettaglio credi formativi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Ambito disciplinare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SSD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Crediti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11/C4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M-FIL/04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di erogazione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Periodo di erogazione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II semestre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Anno di corso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III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Modalit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di erogazione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Lezioni frontali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 xml:space="preserve">Organizzazione della didattica 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 xml:space="preserve">Ore </w:t>
            </w:r>
            <w:r>
              <w:rPr>
                <w:rStyle w:val="Nessuno"/>
                <w:shd w:val="clear" w:color="auto" w:fill="00ff00"/>
                <w:rtl w:val="0"/>
                <w:lang w:val="it-IT"/>
              </w:rPr>
              <w:t>totali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Ore di corso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Ore di studio individuale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108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C</w:t>
            </w: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shd w:val="clear" w:color="auto" w:fill="b2a1c7"/>
                <w:rtl w:val="0"/>
                <w:lang w:val="it-IT"/>
              </w:rPr>
              <w:t>alendario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Inizio attivit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didattiche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Fine attivit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didattiche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Syllabus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Prerequisiti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47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Risultati di apprendimento previsti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300" w:lineRule="atLeast"/>
              <w:jc w:val="both"/>
              <w:rPr>
                <w:rStyle w:val="Nessuno"/>
                <w:rFonts w:ascii="Times" w:cs="Times" w:hAnsi="Times" w:eastAsia="Times"/>
                <w:shd w:val="clear" w:color="auto" w:fill="ffffff"/>
              </w:rPr>
            </w:pPr>
          </w:p>
          <w:p>
            <w:pPr>
              <w:pStyle w:val="Corpo A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cs="Gill Sans MT" w:hAnsi="Gill Sans MT" w:eastAsia="Gill Sans MT"/>
                <w:sz w:val="22"/>
                <w:szCs w:val="22"/>
                <w:lang w:val="it-IT"/>
              </w:rPr>
            </w:pP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Conoscenza e capacit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di comprensione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458" w:firstLine="0"/>
              <w:jc w:val="both"/>
              <w:outlineLvl w:val="9"/>
              <w:rPr>
                <w:rStyle w:val="Nessuno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Lo studente deve </w:t>
            </w:r>
            <w:r>
              <w:rPr>
                <w:rStyle w:val="Nessuno"/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aver acquisito la ca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la capacit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riconoscere ed interpretare le fonti letterarie medievali dei pi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importanti intellettuali occidentali.</w:t>
            </w:r>
          </w:p>
          <w:p>
            <w:pPr>
              <w:pStyle w:val="Corpo A"/>
              <w:spacing w:line="276" w:lineRule="auto"/>
              <w:ind w:left="1080" w:firstLine="0"/>
              <w:jc w:val="both"/>
              <w:rPr>
                <w:rStyle w:val="Nessuno"/>
                <w:rFonts w:ascii="Gill Sans MT" w:cs="Gill Sans MT" w:hAnsi="Gill Sans MT" w:eastAsia="Gill Sans MT"/>
                <w:sz w:val="22"/>
                <w:szCs w:val="22"/>
                <w:lang w:val="it-IT"/>
              </w:rPr>
            </w:pP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Conoscenza e capacit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di comprensione applicate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Lo studente deve essere in grado di applicare le conoscenze e le competenze acquisite anche ad altri contesti e casi di studio, spaziando in tematiche e contesti diversi, cogliendone la complessit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e l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articolazione. 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Autonomia di giudizio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Lo studente deve essere in grado di utilizzare in modo critico e corretto gli strumenti didattici e deve poter impostare in maniera autonoma confronti, sequenze, ricerche su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temi legati all'analisi dei testi filosofici e letterali che sottendono alla produzione artistica medievale.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spacing w:after="0" w:line="240" w:lineRule="auto"/>
              <w:ind w:left="360" w:firstLine="0"/>
              <w:jc w:val="both"/>
              <w:rPr>
                <w:rStyle w:val="Nessuno"/>
                <w:rFonts w:ascii="Gill Sans MT" w:cs="Gill Sans MT" w:hAnsi="Gill Sans MT" w:eastAsia="Gill Sans MT"/>
                <w:lang w:val="it-IT"/>
              </w:rPr>
            </w:pP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Abilit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comunicative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Lo studente deve essere in grado di illustrare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in forma scritta e parlata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un tema articolato o un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opera singola, in modo chiaro, esauriente e corretto, cogliendo in particolare gli aspetti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iconologici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 e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con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le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relative teorie estetiche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. 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both"/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Capacit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ill Sans MT" w:cs="Gill Sans MT" w:hAnsi="Gill Sans MT" w:eastAsia="Gill Sans MT"/>
                <w:i w:val="1"/>
                <w:iCs w:val="1"/>
                <w:sz w:val="22"/>
                <w:szCs w:val="22"/>
                <w:rtl w:val="0"/>
                <w:lang w:val="it-IT"/>
              </w:rPr>
              <w:t>di apprendere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Lo studente deve essere in grado di continuare ad apprendere e di utilizzare in modo autonomo le metodologie acquisite anche in altri contesti</w:t>
            </w:r>
            <w:r>
              <w:rPr>
                <w:rStyle w:val="Nessuno"/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Contenuti di insegnamento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240" w:line="340" w:lineRule="atLeast"/>
              <w:jc w:val="both"/>
            </w:pP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it-IT"/>
              </w:rPr>
              <w:t>Ad una prima parte nella quale si analizzer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  <w:lang w:val="fr-FR"/>
              </w:rPr>
              <w:t xml:space="preserve">à 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it-IT"/>
              </w:rPr>
              <w:t>il percorso che ha caratterizzato il discorso sull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</w:rPr>
              <w:t>’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es-ES_tradnl"/>
              </w:rPr>
              <w:t>arte, seguir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  <w:lang w:val="fr-FR"/>
              </w:rPr>
              <w:t xml:space="preserve">à 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it-IT"/>
              </w:rPr>
              <w:t>una seconda nella quale si approfondir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  <w:lang w:val="fr-FR"/>
              </w:rPr>
              <w:t xml:space="preserve">à 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</w:rPr>
              <w:t>l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</w:rPr>
              <w:t>’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it-IT"/>
              </w:rPr>
              <w:t>apporto che le teorie estetiche di Hans Belting hanno dato all</w:t>
            </w:r>
            <w:r>
              <w:rPr>
                <w:rStyle w:val="Nessuno"/>
                <w:rFonts w:ascii="Times" w:hAnsi="Times" w:hint="default"/>
                <w:shd w:val="clear" w:color="auto" w:fill="ffffff"/>
                <w:rtl w:val="0"/>
              </w:rPr>
              <w:t>’</w:t>
            </w:r>
            <w:r>
              <w:rPr>
                <w:rStyle w:val="Nessuno"/>
                <w:rFonts w:ascii="Times" w:hAnsi="Times"/>
                <w:shd w:val="clear" w:color="auto" w:fill="ffffff"/>
                <w:rtl w:val="0"/>
                <w:lang w:val="it-IT"/>
              </w:rPr>
              <w:t xml:space="preserve">interpretazione della produzione iconografica medievale.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2a1c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b w:val="1"/>
                <w:bCs w:val="1"/>
                <w:rtl w:val="0"/>
                <w:lang w:val="it-IT"/>
              </w:rPr>
              <w:t>Programma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Testi di riferimento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Style w:val="Nessuno"/>
                <w:rFonts w:ascii="Times" w:cs="Times" w:hAnsi="Times" w:eastAsia="Times"/>
                <w:sz w:val="22"/>
                <w:szCs w:val="22"/>
                <w:lang w:val="en-US"/>
              </w:rPr>
            </w:pPr>
          </w:p>
          <w:p>
            <w:pPr>
              <w:pStyle w:val="Corpo A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imes" w:hAnsi="Times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Hans Belting, Il culto delle immagini. Storia dell</w:t>
            </w:r>
            <w:r>
              <w:rPr>
                <w:rStyle w:val="Nessuno"/>
                <w:rFonts w:ascii="Times" w:hAnsi="Times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icona dall</w:t>
            </w:r>
            <w:r>
              <w:rPr>
                <w:rStyle w:val="Nessuno"/>
                <w:rFonts w:ascii="Times" w:hAnsi="Times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et</w:t>
            </w:r>
            <w:r>
              <w:rPr>
                <w:rStyle w:val="Nessuno"/>
                <w:rFonts w:ascii="Times" w:hAnsi="Times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imperiale al tardo Medioevo, Carocci, 2001</w:t>
            </w:r>
          </w:p>
          <w:p>
            <w:pPr>
              <w:pStyle w:val="Corpo A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imes" w:hAnsi="Times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Donata Levi, Il discorso sull</w:t>
            </w:r>
            <w:r>
              <w:rPr>
                <w:rStyle w:val="Nessuno"/>
                <w:rFonts w:ascii="Times" w:hAnsi="Times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it-IT"/>
              </w:rPr>
              <w:t>arte, Bruno Mondadori, 2010</w:t>
            </w:r>
          </w:p>
          <w:p>
            <w:pPr>
              <w:pStyle w:val="Corpo A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imes" w:hAnsi="Times"/>
                <w:sz w:val="22"/>
                <w:szCs w:val="22"/>
                <w:rtl w:val="0"/>
                <w:lang w:val="en-US"/>
              </w:rPr>
            </w:pP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en-US"/>
              </w:rPr>
              <w:t>Maristella Trombetta, La critica d</w:t>
            </w:r>
            <w:r>
              <w:rPr>
                <w:rStyle w:val="Nessuno"/>
                <w:rFonts w:ascii="Times" w:hAnsi="Times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essuno"/>
                <w:rFonts w:ascii="Times" w:hAnsi="Times"/>
                <w:sz w:val="22"/>
                <w:szCs w:val="22"/>
                <w:rtl w:val="0"/>
                <w:lang w:val="en-US"/>
              </w:rPr>
              <w:t xml:space="preserve">arte. Evoluzione e storia del sentire occidentale, in corso di pubblicazione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Note ai testi di riferimento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Metodi didattici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Lezioni frontali</w:t>
            </w:r>
          </w:p>
        </w:tc>
      </w:tr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Metodi di valutazione (indicare almeno la tipologia scritto, orale, altro)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Esame orale</w:t>
            </w:r>
          </w:p>
        </w:tc>
      </w:tr>
      <w:tr>
        <w:tblPrEx>
          <w:shd w:val="clear" w:color="auto" w:fill="ced7e7"/>
        </w:tblPrEx>
        <w:trPr>
          <w:trHeight w:val="5074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>Criteri di valutazione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Lo studente deve essere in grado di collocare temporalmente le teorie estetiche pi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>importanti in modo eccellente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 xml:space="preserve"> e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 xml:space="preserve"> deve raggiungere un buon livello di conoscenza del lessico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proprio della disciplina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 xml:space="preserve">, deve saper spiegare in modo eccellente le relazioni che intercorrono tra 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it-IT"/>
              </w:rPr>
              <w:t>le teorie estetiche e la produzione artistica medievale</w:t>
            </w:r>
            <w:r>
              <w:rPr>
                <w:rStyle w:val="Nessuno"/>
                <w:rFonts w:ascii="Gill Sans MT" w:cs="Gill Sans MT" w:hAnsi="Gill Sans MT" w:eastAsia="Gill Sans MT"/>
                <w:sz w:val="22"/>
                <w:szCs w:val="22"/>
                <w:rtl w:val="0"/>
                <w:lang w:val="en-US"/>
              </w:rPr>
              <w:t xml:space="preserve"> dunque Deve essere in grado di illustrare in forma scritta e parlata, in modo esauriente e corretto il tema sottoposto alla sua attenzione, evidenziando gli aspetti filosofici legati alla produzione ed all'interpretazione iconografica del medioevo.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Style w:val="Nessuno"/>
                <w:rFonts w:ascii="Gill Sans MT" w:cs="Gill Sans MT" w:hAnsi="Gill Sans MT" w:eastAsia="Gill Sans MT"/>
                <w:rtl w:val="0"/>
                <w:lang w:val="it-IT"/>
              </w:rPr>
              <w:t xml:space="preserve">Altro </w:t>
            </w:r>
          </w:p>
        </w:tc>
        <w:tc>
          <w:tcPr>
            <w:tcW w:type="dxa" w:w="57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216" w:hanging="216"/>
      </w:pPr>
    </w:p>
    <w:p>
      <w:pPr>
        <w:pStyle w:val="Corpo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9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1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7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3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74" w:hanging="17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ill Sans MT" w:cs="Gill Sans MT" w:hAnsi="Gill Sans MT" w:eastAsia="Gill Sans MT"/>
      <w:sz w:val="22"/>
      <w:szCs w:val="22"/>
      <w:u w:val="single"/>
      <w:lang w:val="it-IT"/>
    </w:rPr>
  </w:style>
  <w:style w:type="character" w:styleId="Hyperlink.1">
    <w:name w:val="Hyperlink.1"/>
    <w:basedOn w:val="Nessuno"/>
    <w:next w:val="Hyperlink.1"/>
    <w:rPr>
      <w:rFonts w:ascii="Times" w:cs="Times" w:hAnsi="Times" w:eastAsia="Times"/>
      <w:color w:val="0000ff"/>
      <w:sz w:val="22"/>
      <w:szCs w:val="22"/>
      <w:u w:val="single" w:color="0000ff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