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6DCF" w14:textId="77777777" w:rsidR="007A618F" w:rsidRDefault="007A618F" w:rsidP="007A618F">
      <w:pPr>
        <w:pStyle w:val="Corpotesto"/>
        <w:rPr>
          <w:sz w:val="20"/>
        </w:rPr>
      </w:pPr>
    </w:p>
    <w:p w14:paraId="34FD5798" w14:textId="77777777" w:rsidR="007A618F" w:rsidRDefault="007A618F" w:rsidP="007A618F">
      <w:pPr>
        <w:pStyle w:val="Corpotesto"/>
        <w:rPr>
          <w:sz w:val="20"/>
        </w:rPr>
      </w:pPr>
    </w:p>
    <w:p w14:paraId="7616414D" w14:textId="2D227E9A" w:rsidR="007A618F" w:rsidRDefault="008F2358" w:rsidP="007A618F">
      <w:pPr>
        <w:pStyle w:val="Corpotesto"/>
        <w:rPr>
          <w:sz w:val="20"/>
        </w:rPr>
      </w:pPr>
      <w:r w:rsidRPr="00AB0F7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EC513" wp14:editId="35307B50">
                <wp:simplePos x="0" y="0"/>
                <wp:positionH relativeFrom="column">
                  <wp:posOffset>1771015</wp:posOffset>
                </wp:positionH>
                <wp:positionV relativeFrom="paragraph">
                  <wp:posOffset>154940</wp:posOffset>
                </wp:positionV>
                <wp:extent cx="4276725" cy="10477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EBAC" w14:textId="77777777" w:rsidR="007A618F" w:rsidRDefault="007A618F" w:rsidP="007A61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FD1F04" w14:textId="55CC6CE5" w:rsidR="007A618F" w:rsidRPr="00AB0F77" w:rsidRDefault="008F2358" w:rsidP="008F23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F2358">
                              <w:rPr>
                                <w:sz w:val="36"/>
                                <w:szCs w:val="36"/>
                              </w:rPr>
                              <w:t>Master Degree in Psychology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C51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9.45pt;margin-top:12.2pt;width:336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">
                <v:textbox>
                  <w:txbxContent>
                    <w:p w14:paraId="5D2BEBAC" w14:textId="77777777" w:rsidR="007A618F" w:rsidRDefault="007A618F" w:rsidP="007A61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8FD1F04" w14:textId="55CC6CE5" w:rsidR="007A618F" w:rsidRPr="00AB0F77" w:rsidRDefault="008F2358" w:rsidP="008F23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8F2358">
                        <w:rPr>
                          <w:sz w:val="36"/>
                          <w:szCs w:val="36"/>
                        </w:rPr>
                        <w:t>Master Degree in Psychology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41411" w14:textId="269B413D" w:rsidR="007A618F" w:rsidRDefault="007A618F" w:rsidP="007A618F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492D4360" wp14:editId="687EA279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BC00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1EC30E17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3C0043C6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7134DE57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1442A087" w14:textId="77777777" w:rsidR="00F83E16" w:rsidRPr="00EC3651" w:rsidRDefault="00F83E16">
      <w:pPr>
        <w:pStyle w:val="Corpotesto"/>
        <w:spacing w:before="6" w:after="1"/>
        <w:rPr>
          <w:sz w:val="28"/>
          <w:lang w:val="it-IT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100"/>
        <w:gridCol w:w="1098"/>
        <w:gridCol w:w="4536"/>
      </w:tblGrid>
      <w:tr w:rsidR="00F83E16" w14:paraId="5053E793" w14:textId="77777777">
        <w:trPr>
          <w:trHeight w:val="244"/>
        </w:trPr>
        <w:tc>
          <w:tcPr>
            <w:tcW w:w="9444" w:type="dxa"/>
            <w:gridSpan w:val="4"/>
            <w:shd w:val="clear" w:color="auto" w:fill="B1A0C6"/>
          </w:tcPr>
          <w:p w14:paraId="5B15045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8F2358" w14:paraId="7B0A4218" w14:textId="77777777">
        <w:trPr>
          <w:trHeight w:val="244"/>
        </w:trPr>
        <w:tc>
          <w:tcPr>
            <w:tcW w:w="2710" w:type="dxa"/>
          </w:tcPr>
          <w:p w14:paraId="3DE7E32B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6734" w:type="dxa"/>
            <w:gridSpan w:val="3"/>
          </w:tcPr>
          <w:p w14:paraId="0402D0A0" w14:textId="29680B86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822A89">
              <w:rPr>
                <w:lang w:val="en-GB"/>
              </w:rPr>
              <w:t>Neurodevelopmental Disorders and Psychoeducational Interventions</w:t>
            </w:r>
          </w:p>
        </w:tc>
      </w:tr>
      <w:tr w:rsidR="008F2358" w14:paraId="01574B85" w14:textId="77777777">
        <w:trPr>
          <w:trHeight w:val="243"/>
        </w:trPr>
        <w:tc>
          <w:tcPr>
            <w:tcW w:w="2710" w:type="dxa"/>
          </w:tcPr>
          <w:p w14:paraId="539686DB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6734" w:type="dxa"/>
            <w:gridSpan w:val="3"/>
          </w:tcPr>
          <w:p w14:paraId="50C06E60" w14:textId="614098BA" w:rsidR="008F2358" w:rsidRPr="008F2358" w:rsidRDefault="008F2358" w:rsidP="008F2358">
            <w:pPr>
              <w:pStyle w:val="TableParagraph"/>
              <w:rPr>
                <w:lang w:val="en-GB"/>
              </w:rPr>
            </w:pPr>
            <w:r w:rsidRPr="008F2358">
              <w:rPr>
                <w:lang w:val="en-GB"/>
              </w:rPr>
              <w:t>II</w:t>
            </w:r>
          </w:p>
        </w:tc>
      </w:tr>
      <w:tr w:rsidR="008F2358" w14:paraId="2100EFCB" w14:textId="77777777">
        <w:trPr>
          <w:trHeight w:val="244"/>
        </w:trPr>
        <w:tc>
          <w:tcPr>
            <w:tcW w:w="2710" w:type="dxa"/>
          </w:tcPr>
          <w:p w14:paraId="0CF8DD59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6734" w:type="dxa"/>
            <w:gridSpan w:val="3"/>
          </w:tcPr>
          <w:p w14:paraId="4250635E" w14:textId="2987679A" w:rsidR="008F2358" w:rsidRPr="008F2358" w:rsidRDefault="008F2358" w:rsidP="008F2358">
            <w:pPr>
              <w:pStyle w:val="TableParagraph"/>
              <w:rPr>
                <w:lang w:val="en-GB"/>
              </w:rPr>
            </w:pPr>
            <w:proofErr w:type="gramStart"/>
            <w:r w:rsidRPr="008F2358">
              <w:rPr>
                <w:lang w:val="en-GB"/>
              </w:rPr>
              <w:t xml:space="preserve">Master Degree in </w:t>
            </w:r>
            <w:r w:rsidRPr="008F2358">
              <w:rPr>
                <w:lang w:val="en-GB"/>
              </w:rPr>
              <w:t xml:space="preserve">Clinical </w:t>
            </w:r>
            <w:r w:rsidRPr="008F2358">
              <w:rPr>
                <w:lang w:val="en-GB"/>
              </w:rPr>
              <w:t>Psychology</w:t>
            </w:r>
            <w:proofErr w:type="gramEnd"/>
          </w:p>
        </w:tc>
      </w:tr>
      <w:tr w:rsidR="008F2358" w14:paraId="68D86B4F" w14:textId="77777777">
        <w:trPr>
          <w:trHeight w:val="487"/>
        </w:trPr>
        <w:tc>
          <w:tcPr>
            <w:tcW w:w="4908" w:type="dxa"/>
            <w:gridSpan w:val="3"/>
          </w:tcPr>
          <w:p w14:paraId="3BFC0A6D" w14:textId="77777777" w:rsidR="008F2358" w:rsidRDefault="008F2358" w:rsidP="008F2358">
            <w:pPr>
              <w:pStyle w:val="TableParagraph"/>
              <w:spacing w:line="240" w:lineRule="atLeast"/>
              <w:ind w:left="110" w:right="602"/>
              <w:rPr>
                <w:sz w:val="20"/>
              </w:rPr>
            </w:pPr>
            <w:r>
              <w:rPr>
                <w:sz w:val="20"/>
              </w:rPr>
              <w:t>European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</w:t>
            </w:r>
          </w:p>
        </w:tc>
        <w:tc>
          <w:tcPr>
            <w:tcW w:w="4536" w:type="dxa"/>
          </w:tcPr>
          <w:p w14:paraId="4F28BC9B" w14:textId="4A9E3681" w:rsidR="008F2358" w:rsidRDefault="008F2358" w:rsidP="008F235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8F2358" w14:paraId="60417A8E" w14:textId="77777777">
        <w:trPr>
          <w:trHeight w:val="244"/>
        </w:trPr>
        <w:tc>
          <w:tcPr>
            <w:tcW w:w="2710" w:type="dxa"/>
          </w:tcPr>
          <w:p w14:paraId="5199B035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6734" w:type="dxa"/>
            <w:gridSpan w:val="3"/>
          </w:tcPr>
          <w:p w14:paraId="1009BA6C" w14:textId="683B8A49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822A89">
              <w:t>Italian</w:t>
            </w:r>
          </w:p>
        </w:tc>
      </w:tr>
      <w:tr w:rsidR="008F2358" w14:paraId="15E522F9" w14:textId="77777777">
        <w:trPr>
          <w:trHeight w:val="487"/>
        </w:trPr>
        <w:tc>
          <w:tcPr>
            <w:tcW w:w="3810" w:type="dxa"/>
            <w:gridSpan w:val="2"/>
          </w:tcPr>
          <w:p w14:paraId="4B0771B4" w14:textId="77777777" w:rsidR="008F2358" w:rsidRDefault="008F2358" w:rsidP="008F2358">
            <w:pPr>
              <w:pStyle w:val="TableParagraph"/>
              <w:spacing w:line="240" w:lineRule="atLeast"/>
              <w:ind w:left="110" w:right="471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(starting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  <w:tc>
          <w:tcPr>
            <w:tcW w:w="5634" w:type="dxa"/>
            <w:gridSpan w:val="2"/>
          </w:tcPr>
          <w:p w14:paraId="77A1D13E" w14:textId="01491CFB" w:rsidR="008F2358" w:rsidRPr="008F2358" w:rsidRDefault="008F2358" w:rsidP="008F2358">
            <w:pPr>
              <w:pStyle w:val="NormaleWeb"/>
              <w:rPr>
                <w:lang w:val="en-US"/>
              </w:rPr>
            </w:pPr>
            <w:r w:rsidRPr="008F23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First semester; lessons starting in October 2021 </w:t>
            </w:r>
          </w:p>
        </w:tc>
      </w:tr>
      <w:tr w:rsidR="008F2358" w14:paraId="4878ADD9" w14:textId="77777777">
        <w:trPr>
          <w:trHeight w:val="243"/>
        </w:trPr>
        <w:tc>
          <w:tcPr>
            <w:tcW w:w="2710" w:type="dxa"/>
          </w:tcPr>
          <w:p w14:paraId="127B7038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6734" w:type="dxa"/>
            <w:gridSpan w:val="3"/>
          </w:tcPr>
          <w:p w14:paraId="248CCBF1" w14:textId="2BA0CB4D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8F2358">
              <w:rPr>
                <w:rFonts w:eastAsia="Times New Roman"/>
                <w:sz w:val="20"/>
                <w:szCs w:val="20"/>
                <w:lang w:eastAsia="it-IT"/>
              </w:rPr>
              <w:t>Not mandatory</w:t>
            </w:r>
          </w:p>
        </w:tc>
      </w:tr>
    </w:tbl>
    <w:p w14:paraId="58B23ABE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732"/>
      </w:tblGrid>
      <w:tr w:rsidR="00F83E16" w14:paraId="47238A46" w14:textId="77777777">
        <w:trPr>
          <w:trHeight w:val="244"/>
        </w:trPr>
        <w:tc>
          <w:tcPr>
            <w:tcW w:w="2712" w:type="dxa"/>
            <w:shd w:val="clear" w:color="auto" w:fill="B1A0C6"/>
          </w:tcPr>
          <w:p w14:paraId="48846DDB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Professor/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</w:p>
        </w:tc>
        <w:tc>
          <w:tcPr>
            <w:tcW w:w="6732" w:type="dxa"/>
          </w:tcPr>
          <w:p w14:paraId="1B773471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5524FE60" w14:textId="77777777">
        <w:trPr>
          <w:trHeight w:val="243"/>
        </w:trPr>
        <w:tc>
          <w:tcPr>
            <w:tcW w:w="2712" w:type="dxa"/>
          </w:tcPr>
          <w:p w14:paraId="397C7440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</w:tc>
        <w:tc>
          <w:tcPr>
            <w:tcW w:w="6732" w:type="dxa"/>
          </w:tcPr>
          <w:p w14:paraId="76848666" w14:textId="5C37C1AB" w:rsidR="00F83E16" w:rsidRPr="008F2358" w:rsidRDefault="008F2358">
            <w:pPr>
              <w:pStyle w:val="TableParagraph"/>
              <w:rPr>
                <w:lang w:val="en-GB"/>
              </w:rPr>
            </w:pPr>
            <w:r w:rsidRPr="008F2358">
              <w:rPr>
                <w:lang w:val="en-GB"/>
              </w:rPr>
              <w:t>Cristina Semeraro</w:t>
            </w:r>
          </w:p>
        </w:tc>
      </w:tr>
      <w:tr w:rsidR="00F83E16" w14:paraId="5A5636EF" w14:textId="77777777">
        <w:trPr>
          <w:trHeight w:val="244"/>
        </w:trPr>
        <w:tc>
          <w:tcPr>
            <w:tcW w:w="2712" w:type="dxa"/>
          </w:tcPr>
          <w:p w14:paraId="073F848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32" w:type="dxa"/>
          </w:tcPr>
          <w:p w14:paraId="2ACB750D" w14:textId="3601AA1C" w:rsidR="00F83E16" w:rsidRPr="008F2358" w:rsidRDefault="008F2358">
            <w:pPr>
              <w:pStyle w:val="TableParagraph"/>
              <w:rPr>
                <w:lang w:val="en-GB"/>
              </w:rPr>
            </w:pPr>
            <w:r w:rsidRPr="008F2358">
              <w:rPr>
                <w:lang w:val="en-GB"/>
              </w:rPr>
              <w:t>cristina.semeraro@uniba.it</w:t>
            </w:r>
          </w:p>
        </w:tc>
      </w:tr>
      <w:tr w:rsidR="00F83E16" w14:paraId="501EA22D" w14:textId="77777777">
        <w:trPr>
          <w:trHeight w:val="243"/>
        </w:trPr>
        <w:tc>
          <w:tcPr>
            <w:tcW w:w="2712" w:type="dxa"/>
          </w:tcPr>
          <w:p w14:paraId="3886460B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6732" w:type="dxa"/>
          </w:tcPr>
          <w:p w14:paraId="1239D7F6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2358" w14:paraId="769AECA9" w14:textId="77777777">
        <w:trPr>
          <w:trHeight w:val="243"/>
        </w:trPr>
        <w:tc>
          <w:tcPr>
            <w:tcW w:w="2712" w:type="dxa"/>
          </w:tcPr>
          <w:p w14:paraId="42407FD3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732" w:type="dxa"/>
          </w:tcPr>
          <w:p w14:paraId="3F749593" w14:textId="01A2086C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A67594">
              <w:rPr>
                <w:sz w:val="20"/>
                <w:szCs w:val="20"/>
              </w:rPr>
              <w:t>Bari</w:t>
            </w:r>
          </w:p>
        </w:tc>
      </w:tr>
      <w:tr w:rsidR="008F2358" w14:paraId="4C3A3C28" w14:textId="77777777">
        <w:trPr>
          <w:trHeight w:val="243"/>
        </w:trPr>
        <w:tc>
          <w:tcPr>
            <w:tcW w:w="2712" w:type="dxa"/>
          </w:tcPr>
          <w:p w14:paraId="3075FB71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headquarters</w:t>
            </w:r>
          </w:p>
        </w:tc>
        <w:tc>
          <w:tcPr>
            <w:tcW w:w="6732" w:type="dxa"/>
          </w:tcPr>
          <w:p w14:paraId="393BF531" w14:textId="373404C0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A67594">
              <w:rPr>
                <w:sz w:val="20"/>
                <w:szCs w:val="20"/>
              </w:rPr>
              <w:t xml:space="preserve">Teams, virtual room: </w:t>
            </w:r>
            <w:proofErr w:type="spellStart"/>
            <w:r w:rsidRPr="00A67594">
              <w:rPr>
                <w:sz w:val="20"/>
                <w:szCs w:val="20"/>
              </w:rPr>
              <w:t>Ricevimento</w:t>
            </w:r>
            <w:proofErr w:type="spellEnd"/>
            <w:r w:rsidRPr="00A6759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ristina Semeraro</w:t>
            </w:r>
            <w:r w:rsidRPr="00A67594">
              <w:rPr>
                <w:sz w:val="20"/>
                <w:szCs w:val="20"/>
              </w:rPr>
              <w:t xml:space="preserve"> </w:t>
            </w:r>
            <w:r w:rsidRPr="008F2358">
              <w:rPr>
                <w:sz w:val="20"/>
                <w:szCs w:val="20"/>
              </w:rPr>
              <w:t>j2cw3m8</w:t>
            </w:r>
          </w:p>
        </w:tc>
      </w:tr>
      <w:tr w:rsidR="00F83E16" w14:paraId="5AE8228E" w14:textId="77777777">
        <w:trPr>
          <w:trHeight w:val="244"/>
        </w:trPr>
        <w:tc>
          <w:tcPr>
            <w:tcW w:w="2712" w:type="dxa"/>
          </w:tcPr>
          <w:p w14:paraId="71229ED3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day)</w:t>
            </w:r>
          </w:p>
        </w:tc>
        <w:tc>
          <w:tcPr>
            <w:tcW w:w="6732" w:type="dxa"/>
          </w:tcPr>
          <w:p w14:paraId="5833EBC1" w14:textId="5B3AD7E9" w:rsidR="00F83E16" w:rsidRDefault="008F2358">
            <w:pPr>
              <w:pStyle w:val="TableParagraph"/>
              <w:rPr>
                <w:rFonts w:ascii="Times New Roman"/>
                <w:sz w:val="16"/>
              </w:rPr>
            </w:pPr>
            <w:r w:rsidRPr="008F2358">
              <w:rPr>
                <w:lang w:val="en-GB"/>
              </w:rPr>
              <w:t>Monday h. 9.30-11.30</w:t>
            </w:r>
          </w:p>
        </w:tc>
      </w:tr>
    </w:tbl>
    <w:p w14:paraId="16827A74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732"/>
      </w:tblGrid>
      <w:tr w:rsidR="00F83E16" w14:paraId="631DBA17" w14:textId="77777777">
        <w:trPr>
          <w:trHeight w:val="243"/>
        </w:trPr>
        <w:tc>
          <w:tcPr>
            <w:tcW w:w="2712" w:type="dxa"/>
            <w:tcBorders>
              <w:left w:val="nil"/>
              <w:right w:val="nil"/>
            </w:tcBorders>
          </w:tcPr>
          <w:p w14:paraId="26A077F4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2" w:type="dxa"/>
            <w:tcBorders>
              <w:left w:val="nil"/>
              <w:right w:val="nil"/>
            </w:tcBorders>
          </w:tcPr>
          <w:p w14:paraId="75268DE0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0CB34DC7" w14:textId="77777777">
        <w:trPr>
          <w:trHeight w:val="243"/>
        </w:trPr>
        <w:tc>
          <w:tcPr>
            <w:tcW w:w="2712" w:type="dxa"/>
            <w:shd w:val="clear" w:color="auto" w:fill="B1A0C6"/>
          </w:tcPr>
          <w:p w14:paraId="0678FDF8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Syllabus</w:t>
            </w:r>
          </w:p>
        </w:tc>
        <w:tc>
          <w:tcPr>
            <w:tcW w:w="6732" w:type="dxa"/>
          </w:tcPr>
          <w:p w14:paraId="6AB3BF00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3FC931A0" w14:textId="77777777">
        <w:trPr>
          <w:trHeight w:val="243"/>
        </w:trPr>
        <w:tc>
          <w:tcPr>
            <w:tcW w:w="2712" w:type="dxa"/>
          </w:tcPr>
          <w:p w14:paraId="55BB788C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</w:p>
        </w:tc>
        <w:tc>
          <w:tcPr>
            <w:tcW w:w="6732" w:type="dxa"/>
          </w:tcPr>
          <w:p w14:paraId="140C87FA" w14:textId="38C9B3B5" w:rsidR="00F83E16" w:rsidRPr="008F2358" w:rsidRDefault="008F2358" w:rsidP="008F2358">
            <w:pPr>
              <w:pStyle w:val="NormaleWeb"/>
              <w:rPr>
                <w:lang w:val="en-US"/>
              </w:rPr>
            </w:pPr>
            <w:r w:rsidRPr="008F2358">
              <w:rPr>
                <w:rFonts w:ascii="Calibri" w:hAnsi="Calibri" w:cs="Calibri"/>
                <w:sz w:val="20"/>
                <w:szCs w:val="20"/>
                <w:lang w:val="en-US"/>
              </w:rPr>
              <w:t>See below at the section Expected learning outcomes</w:t>
            </w:r>
          </w:p>
        </w:tc>
      </w:tr>
      <w:tr w:rsidR="00F83E16" w14:paraId="22C74C27" w14:textId="77777777">
        <w:trPr>
          <w:trHeight w:val="244"/>
        </w:trPr>
        <w:tc>
          <w:tcPr>
            <w:tcW w:w="2712" w:type="dxa"/>
          </w:tcPr>
          <w:p w14:paraId="24819C9F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prerequisites</w:t>
            </w:r>
          </w:p>
        </w:tc>
        <w:tc>
          <w:tcPr>
            <w:tcW w:w="6732" w:type="dxa"/>
          </w:tcPr>
          <w:p w14:paraId="1B623CE8" w14:textId="1DA4D20D" w:rsidR="00F83E16" w:rsidRPr="008F2358" w:rsidRDefault="008F2358" w:rsidP="008F2358">
            <w:pPr>
              <w:pStyle w:val="NormaleWeb"/>
              <w:rPr>
                <w:lang w:val="en-US"/>
              </w:rPr>
            </w:pPr>
            <w:r w:rsidRPr="008F23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Basic knowledge in the disciplines of Developmental and Educational Psychology (SSD M-PSI/04) </w:t>
            </w:r>
          </w:p>
        </w:tc>
      </w:tr>
      <w:tr w:rsidR="00F83E16" w14:paraId="134A351A" w14:textId="77777777">
        <w:trPr>
          <w:trHeight w:val="243"/>
        </w:trPr>
        <w:tc>
          <w:tcPr>
            <w:tcW w:w="2712" w:type="dxa"/>
          </w:tcPr>
          <w:p w14:paraId="52C12CAA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6732" w:type="dxa"/>
          </w:tcPr>
          <w:p w14:paraId="3F93AAEB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The course aims to prepare the student for understanding the main neurodevelopmental disorders and possible neurocognitive interventions. The first part of the course will be devoted to the </w:t>
            </w:r>
            <w:proofErr w:type="spellStart"/>
            <w:r w:rsidRPr="00822A89">
              <w:rPr>
                <w:rFonts w:cs="Calibri"/>
                <w:lang w:val="en-US"/>
              </w:rPr>
              <w:t>neuroconstructivist</w:t>
            </w:r>
            <w:proofErr w:type="spellEnd"/>
            <w:r w:rsidRPr="00822A89">
              <w:rPr>
                <w:rFonts w:cs="Calibri"/>
                <w:lang w:val="en-US"/>
              </w:rPr>
              <w:t xml:space="preserve"> framework of neurodevelopmental disorders, </w:t>
            </w:r>
            <w:proofErr w:type="gramStart"/>
            <w:r w:rsidRPr="00822A89">
              <w:rPr>
                <w:rFonts w:cs="Calibri"/>
                <w:lang w:val="en-US"/>
              </w:rPr>
              <w:t>in particular it</w:t>
            </w:r>
            <w:proofErr w:type="gramEnd"/>
            <w:r w:rsidRPr="00822A89">
              <w:rPr>
                <w:rFonts w:cs="Calibri"/>
                <w:lang w:val="en-US"/>
              </w:rPr>
              <w:t xml:space="preserve"> will be analyzed in detail:</w:t>
            </w:r>
          </w:p>
          <w:p w14:paraId="1F10C175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• The </w:t>
            </w:r>
            <w:proofErr w:type="spellStart"/>
            <w:r w:rsidRPr="00822A89">
              <w:rPr>
                <w:rFonts w:cs="Calibri"/>
                <w:lang w:val="en-US"/>
              </w:rPr>
              <w:t>neuroconstructivist</w:t>
            </w:r>
            <w:proofErr w:type="spellEnd"/>
            <w:r w:rsidRPr="00822A89">
              <w:rPr>
                <w:rFonts w:cs="Calibri"/>
                <w:lang w:val="en-US"/>
              </w:rPr>
              <w:t xml:space="preserve"> approach: probabilistic bidirectional epigenesis:</w:t>
            </w:r>
          </w:p>
          <w:p w14:paraId="60DA5A67" w14:textId="1AB7D9A5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Environmental enrichment and influence on neuronal </w:t>
            </w:r>
            <w:proofErr w:type="gramStart"/>
            <w:r w:rsidRPr="00822A89">
              <w:rPr>
                <w:rFonts w:cs="Calibri"/>
                <w:lang w:val="en-US"/>
              </w:rPr>
              <w:t>plasticity;</w:t>
            </w:r>
            <w:proofErr w:type="gramEnd"/>
          </w:p>
          <w:p w14:paraId="33CB0466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• The development of the nervous </w:t>
            </w:r>
            <w:proofErr w:type="gramStart"/>
            <w:r w:rsidRPr="00822A89">
              <w:rPr>
                <w:rFonts w:cs="Calibri"/>
                <w:lang w:val="en-US"/>
              </w:rPr>
              <w:t>system;</w:t>
            </w:r>
            <w:proofErr w:type="gramEnd"/>
          </w:p>
          <w:p w14:paraId="0E7494E0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• Neuropsychological profiles in speech and communication disorder:</w:t>
            </w:r>
          </w:p>
          <w:p w14:paraId="2980045B" w14:textId="23C2256A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Major neurocognitive hypothesis of the specific language </w:t>
            </w:r>
            <w:proofErr w:type="gramStart"/>
            <w:r w:rsidRPr="00822A89">
              <w:rPr>
                <w:rFonts w:cs="Calibri"/>
                <w:lang w:val="en-US"/>
              </w:rPr>
              <w:t>disorder;</w:t>
            </w:r>
            <w:proofErr w:type="gramEnd"/>
          </w:p>
          <w:p w14:paraId="2F33ECA1" w14:textId="38DCC76A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Assessment instruments: the Peabody Picture Vocabulary Test (PPTV</w:t>
            </w:r>
            <w:proofErr w:type="gramStart"/>
            <w:r w:rsidRPr="00822A89">
              <w:rPr>
                <w:rFonts w:cs="Calibri"/>
                <w:lang w:val="en-US"/>
              </w:rPr>
              <w:t>)</w:t>
            </w:r>
            <w:r>
              <w:rPr>
                <w:rFonts w:cs="Calibri"/>
                <w:lang w:val="en-US"/>
              </w:rPr>
              <w:t>;</w:t>
            </w:r>
            <w:proofErr w:type="gramEnd"/>
          </w:p>
          <w:p w14:paraId="7609A098" w14:textId="55179A1E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Intervention programs.</w:t>
            </w:r>
          </w:p>
          <w:p w14:paraId="6A62EBB1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• Neuropsychological profiles in specific learning disorders:</w:t>
            </w:r>
          </w:p>
          <w:p w14:paraId="6FF8C488" w14:textId="2527AD30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Major neurocognitive hypothesis of the developmental dyslexia, </w:t>
            </w:r>
            <w:proofErr w:type="gramStart"/>
            <w:r w:rsidRPr="00822A89">
              <w:rPr>
                <w:rFonts w:cs="Calibri"/>
                <w:lang w:val="en-US"/>
              </w:rPr>
              <w:t>assessment</w:t>
            </w:r>
            <w:proofErr w:type="gramEnd"/>
            <w:r w:rsidRPr="00822A89">
              <w:rPr>
                <w:rFonts w:cs="Calibri"/>
                <w:lang w:val="en-US"/>
              </w:rPr>
              <w:t xml:space="preserve"> and intervention instruments. </w:t>
            </w:r>
          </w:p>
          <w:p w14:paraId="35989071" w14:textId="730CBE8B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Major neurocognitive hypothesis of the dyscalculia. The intervention on calculation difficulties.</w:t>
            </w:r>
          </w:p>
          <w:p w14:paraId="38E9FC6B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The second part of the course will be devoted to behavioral disorders and their intervention. Finally, general cognitive abilities disorders and neuropsychology of autism spectrum disorders will be discussed.</w:t>
            </w:r>
          </w:p>
          <w:p w14:paraId="038565A6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• Attention Deficit Hyperactivity Disorder (ADHD):</w:t>
            </w:r>
          </w:p>
          <w:p w14:paraId="2F993D70" w14:textId="7850F7E1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The biological basis and neurocognitive models of </w:t>
            </w:r>
            <w:proofErr w:type="gramStart"/>
            <w:r w:rsidRPr="00822A89">
              <w:rPr>
                <w:rFonts w:cs="Calibri"/>
                <w:lang w:val="en-US"/>
              </w:rPr>
              <w:t>ADHD;</w:t>
            </w:r>
            <w:proofErr w:type="gramEnd"/>
          </w:p>
          <w:p w14:paraId="24D6CB01" w14:textId="6F5A8F3A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Development of cognitive-affective processes and implications on atypical </w:t>
            </w:r>
            <w:proofErr w:type="gramStart"/>
            <w:r w:rsidRPr="00822A89">
              <w:rPr>
                <w:rFonts w:cs="Calibri"/>
                <w:lang w:val="en-US"/>
              </w:rPr>
              <w:t>development;</w:t>
            </w:r>
            <w:proofErr w:type="gramEnd"/>
          </w:p>
          <w:p w14:paraId="5F36AC9E" w14:textId="2214A3F9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lastRenderedPageBreak/>
              <w:t xml:space="preserve">Modalities and instruments for diagnostic </w:t>
            </w:r>
            <w:proofErr w:type="gramStart"/>
            <w:r w:rsidRPr="00822A89">
              <w:rPr>
                <w:rFonts w:cs="Calibri"/>
                <w:lang w:val="en-US"/>
              </w:rPr>
              <w:t>evaluation;</w:t>
            </w:r>
            <w:proofErr w:type="gramEnd"/>
          </w:p>
          <w:p w14:paraId="4F891FA2" w14:textId="0763BFD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Neuroscientific-cognitive approach to the therapy of behavioral disorders in developmental psychology.</w:t>
            </w:r>
          </w:p>
          <w:p w14:paraId="5A8F7BD1" w14:textId="77777777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>• Neuropsychology of autism spectrum disorders:</w:t>
            </w:r>
          </w:p>
          <w:p w14:paraId="4D8DE554" w14:textId="163D6C3A" w:rsidR="008F2358" w:rsidRPr="00822A89" w:rsidRDefault="008F2358" w:rsidP="008F2358">
            <w:pPr>
              <w:pStyle w:val="NoSpacing"/>
              <w:rPr>
                <w:rFonts w:cs="Calibri"/>
                <w:lang w:val="en-US"/>
              </w:rPr>
            </w:pPr>
            <w:r w:rsidRPr="00822A89">
              <w:rPr>
                <w:rFonts w:cs="Calibri"/>
                <w:lang w:val="en-US"/>
              </w:rPr>
              <w:t xml:space="preserve">Major neurocognitive hypothesis of the </w:t>
            </w:r>
            <w:proofErr w:type="gramStart"/>
            <w:r w:rsidRPr="00822A89">
              <w:rPr>
                <w:rFonts w:cs="Calibri"/>
                <w:lang w:val="en-US"/>
              </w:rPr>
              <w:t>ASD;</w:t>
            </w:r>
            <w:proofErr w:type="gramEnd"/>
          </w:p>
          <w:p w14:paraId="57DB4DF3" w14:textId="055562C3" w:rsidR="00F83E16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822A89">
              <w:t>The diagnostic path for the evaluation of the Autism Diagnostic Observation Schedule-Second Edition (ADOS-2)</w:t>
            </w:r>
            <w:r>
              <w:t>.</w:t>
            </w:r>
          </w:p>
        </w:tc>
      </w:tr>
      <w:tr w:rsidR="00F83E16" w14:paraId="1D34577E" w14:textId="77777777">
        <w:trPr>
          <w:trHeight w:val="243"/>
        </w:trPr>
        <w:tc>
          <w:tcPr>
            <w:tcW w:w="2712" w:type="dxa"/>
          </w:tcPr>
          <w:p w14:paraId="20E3E769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Books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bibliography</w:t>
            </w:r>
          </w:p>
        </w:tc>
        <w:tc>
          <w:tcPr>
            <w:tcW w:w="6732" w:type="dxa"/>
          </w:tcPr>
          <w:p w14:paraId="11EED166" w14:textId="77777777" w:rsidR="008F2358" w:rsidRDefault="008F2358" w:rsidP="008F2358">
            <w:pPr>
              <w:widowControl/>
              <w:numPr>
                <w:ilvl w:val="0"/>
                <w:numId w:val="6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2358">
              <w:rPr>
                <w:rFonts w:ascii="Arial" w:hAnsi="Arial" w:cs="Arial"/>
                <w:sz w:val="20"/>
                <w:szCs w:val="20"/>
                <w:lang w:val="it-IT"/>
              </w:rPr>
              <w:t xml:space="preserve">Vicari S. e Caselli M.C. (2017). Neuropsicologia dell’età evolutiva. Bologna: Il Mulino. </w:t>
            </w:r>
            <w:r w:rsidRPr="00C861F9">
              <w:rPr>
                <w:rFonts w:ascii="Arial" w:hAnsi="Arial" w:cs="Arial"/>
                <w:sz w:val="20"/>
                <w:szCs w:val="20"/>
              </w:rPr>
              <w:t>Chapters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sz w:val="21"/>
                <w:szCs w:val="21"/>
              </w:rPr>
              <w:t>1-2-4-5-6-8-9-10-11-12-13-14-15-19-20</w:t>
            </w:r>
          </w:p>
          <w:p w14:paraId="62316D20" w14:textId="11E3E7CF" w:rsidR="00F83E16" w:rsidRDefault="008F2358" w:rsidP="008F2358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16"/>
              </w:rPr>
            </w:pPr>
            <w:r w:rsidRPr="008F2358">
              <w:rPr>
                <w:rFonts w:ascii="Arial" w:hAnsi="Arial" w:cs="Arial"/>
                <w:sz w:val="20"/>
                <w:szCs w:val="20"/>
                <w:lang w:val="it-IT"/>
              </w:rPr>
              <w:t xml:space="preserve">Muratori P. e Lambruschi F. (2020). I disturbi del comportamento in età evolutiva. Fattori di rischio, strumenti di </w:t>
            </w:r>
            <w:proofErr w:type="spellStart"/>
            <w:r w:rsidRPr="008F2358">
              <w:rPr>
                <w:rFonts w:ascii="Arial" w:hAnsi="Arial" w:cs="Arial"/>
                <w:sz w:val="20"/>
                <w:szCs w:val="20"/>
                <w:lang w:val="it-IT"/>
              </w:rPr>
              <w:t>assessment</w:t>
            </w:r>
            <w:proofErr w:type="spellEnd"/>
            <w:r w:rsidRPr="008F2358">
              <w:rPr>
                <w:rFonts w:ascii="Arial" w:hAnsi="Arial" w:cs="Arial"/>
                <w:sz w:val="20"/>
                <w:szCs w:val="20"/>
                <w:lang w:val="it-IT"/>
              </w:rPr>
              <w:t xml:space="preserve"> e strategie psicoterapeutiche. Trento: </w:t>
            </w:r>
            <w:proofErr w:type="spellStart"/>
            <w:r w:rsidRPr="008F2358">
              <w:rPr>
                <w:rFonts w:ascii="Arial" w:hAnsi="Arial" w:cs="Arial"/>
                <w:sz w:val="20"/>
                <w:szCs w:val="20"/>
                <w:lang w:val="it-IT"/>
              </w:rPr>
              <w:t>Erickson</w:t>
            </w:r>
            <w:proofErr w:type="spellEnd"/>
            <w:r w:rsidRPr="008F2358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C861F9">
              <w:rPr>
                <w:rFonts w:ascii="Arial" w:hAnsi="Arial" w:cs="Arial"/>
                <w:sz w:val="20"/>
                <w:szCs w:val="20"/>
              </w:rPr>
              <w:t xml:space="preserve"> manual</w:t>
            </w:r>
            <w:proofErr w:type="gramEnd"/>
            <w:r w:rsidRPr="00C861F9">
              <w:rPr>
                <w:rFonts w:ascii="Arial" w:hAnsi="Arial" w:cs="Arial"/>
                <w:sz w:val="20"/>
                <w:szCs w:val="20"/>
              </w:rPr>
              <w:t xml:space="preserve"> except for chapter 2.</w:t>
            </w:r>
          </w:p>
        </w:tc>
      </w:tr>
      <w:tr w:rsidR="00F83E16" w14:paraId="16A50FBA" w14:textId="77777777">
        <w:trPr>
          <w:trHeight w:val="243"/>
        </w:trPr>
        <w:tc>
          <w:tcPr>
            <w:tcW w:w="2712" w:type="dxa"/>
          </w:tcPr>
          <w:p w14:paraId="7C0D41B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6732" w:type="dxa"/>
          </w:tcPr>
          <w:p w14:paraId="239E9ACA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590BF7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31"/>
        <w:gridCol w:w="825"/>
        <w:gridCol w:w="4118"/>
        <w:gridCol w:w="1792"/>
      </w:tblGrid>
      <w:tr w:rsidR="00F83E16" w14:paraId="1E1479DB" w14:textId="77777777">
        <w:trPr>
          <w:trHeight w:val="244"/>
        </w:trPr>
        <w:tc>
          <w:tcPr>
            <w:tcW w:w="2709" w:type="dxa"/>
            <w:gridSpan w:val="2"/>
            <w:shd w:val="clear" w:color="auto" w:fill="B1A0C6"/>
          </w:tcPr>
          <w:p w14:paraId="542CE1D0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schedule</w:t>
            </w:r>
          </w:p>
        </w:tc>
        <w:tc>
          <w:tcPr>
            <w:tcW w:w="6735" w:type="dxa"/>
            <w:gridSpan w:val="3"/>
          </w:tcPr>
          <w:p w14:paraId="58DFD5A8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4AF89C00" w14:textId="77777777">
        <w:trPr>
          <w:trHeight w:val="731"/>
        </w:trPr>
        <w:tc>
          <w:tcPr>
            <w:tcW w:w="1478" w:type="dxa"/>
          </w:tcPr>
          <w:p w14:paraId="129388A6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56" w:type="dxa"/>
            <w:gridSpan w:val="2"/>
          </w:tcPr>
          <w:p w14:paraId="40EE03B9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Lectures</w:t>
            </w:r>
          </w:p>
        </w:tc>
        <w:tc>
          <w:tcPr>
            <w:tcW w:w="4118" w:type="dxa"/>
          </w:tcPr>
          <w:p w14:paraId="0611ABA0" w14:textId="77777777" w:rsidR="00F83E16" w:rsidRDefault="0049451A">
            <w:pPr>
              <w:pStyle w:val="TableParagraph"/>
              <w:tabs>
                <w:tab w:val="left" w:pos="847"/>
                <w:tab w:val="left" w:pos="1288"/>
                <w:tab w:val="left" w:pos="2515"/>
                <w:tab w:val="left" w:pos="3397"/>
              </w:tabs>
              <w:spacing w:before="3"/>
              <w:ind w:left="110" w:right="100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(Laboratory,</w:t>
            </w:r>
            <w:r>
              <w:rPr>
                <w:sz w:val="20"/>
              </w:rPr>
              <w:tab/>
              <w:t>working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groups,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seminars,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trips)</w:t>
            </w:r>
          </w:p>
        </w:tc>
        <w:tc>
          <w:tcPr>
            <w:tcW w:w="1792" w:type="dxa"/>
          </w:tcPr>
          <w:p w14:paraId="6EF1BD50" w14:textId="77777777" w:rsidR="00F83E16" w:rsidRDefault="0049451A">
            <w:pPr>
              <w:pStyle w:val="TableParagraph"/>
              <w:spacing w:line="24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Out-of-class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hours/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F83E16" w14:paraId="22E260FD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3E85823E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 w:rsidR="00F83E16" w14:paraId="0C6AC2FB" w14:textId="77777777">
        <w:trPr>
          <w:trHeight w:val="244"/>
        </w:trPr>
        <w:tc>
          <w:tcPr>
            <w:tcW w:w="1478" w:type="dxa"/>
          </w:tcPr>
          <w:p w14:paraId="61AF82EE" w14:textId="75BF1926" w:rsidR="00F83E16" w:rsidRPr="000069BF" w:rsidRDefault="008F2358">
            <w:pPr>
              <w:pStyle w:val="TableParagraph"/>
              <w:rPr>
                <w:sz w:val="20"/>
              </w:rPr>
            </w:pPr>
            <w:r w:rsidRPr="000069BF">
              <w:rPr>
                <w:sz w:val="20"/>
              </w:rPr>
              <w:t>150</w:t>
            </w:r>
          </w:p>
        </w:tc>
        <w:tc>
          <w:tcPr>
            <w:tcW w:w="2056" w:type="dxa"/>
            <w:gridSpan w:val="2"/>
          </w:tcPr>
          <w:p w14:paraId="253EC712" w14:textId="06A8A9DA" w:rsidR="00F83E16" w:rsidRPr="000069BF" w:rsidRDefault="000069BF">
            <w:pPr>
              <w:pStyle w:val="TableParagraph"/>
              <w:rPr>
                <w:sz w:val="20"/>
              </w:rPr>
            </w:pPr>
            <w:r w:rsidRPr="000069BF">
              <w:rPr>
                <w:sz w:val="20"/>
              </w:rPr>
              <w:t>40</w:t>
            </w:r>
          </w:p>
        </w:tc>
        <w:tc>
          <w:tcPr>
            <w:tcW w:w="4118" w:type="dxa"/>
          </w:tcPr>
          <w:p w14:paraId="7467B283" w14:textId="77777777" w:rsidR="00F83E16" w:rsidRPr="000069BF" w:rsidRDefault="00F83E1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</w:tcPr>
          <w:p w14:paraId="4938358A" w14:textId="3E66C92C" w:rsidR="00F83E16" w:rsidRPr="000069BF" w:rsidRDefault="000069BF">
            <w:pPr>
              <w:pStyle w:val="TableParagraph"/>
              <w:rPr>
                <w:sz w:val="20"/>
              </w:rPr>
            </w:pPr>
            <w:r w:rsidRPr="000069BF">
              <w:rPr>
                <w:sz w:val="20"/>
              </w:rPr>
              <w:t>110</w:t>
            </w:r>
          </w:p>
        </w:tc>
      </w:tr>
      <w:tr w:rsidR="00F83E16" w14:paraId="44D21620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76C6D479" w14:textId="77777777" w:rsidR="00F83E16" w:rsidRPr="000069BF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0069BF">
              <w:rPr>
                <w:sz w:val="20"/>
              </w:rPr>
              <w:t>ECTS</w:t>
            </w:r>
          </w:p>
        </w:tc>
      </w:tr>
      <w:tr w:rsidR="00F83E16" w14:paraId="41F24E5A" w14:textId="77777777">
        <w:trPr>
          <w:trHeight w:val="243"/>
        </w:trPr>
        <w:tc>
          <w:tcPr>
            <w:tcW w:w="1478" w:type="dxa"/>
          </w:tcPr>
          <w:p w14:paraId="4AA7A051" w14:textId="710CF7E4" w:rsidR="00F83E16" w:rsidRDefault="008F235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2056" w:type="dxa"/>
            <w:gridSpan w:val="2"/>
          </w:tcPr>
          <w:p w14:paraId="1BBE2356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685E60E6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07B83C69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2358" w14:paraId="2F0FF066" w14:textId="77777777">
        <w:trPr>
          <w:trHeight w:val="243"/>
        </w:trPr>
        <w:tc>
          <w:tcPr>
            <w:tcW w:w="2709" w:type="dxa"/>
            <w:gridSpan w:val="2"/>
            <w:shd w:val="clear" w:color="auto" w:fill="B1A0C6"/>
          </w:tcPr>
          <w:p w14:paraId="07B4B41B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strategy</w:t>
            </w:r>
          </w:p>
        </w:tc>
        <w:tc>
          <w:tcPr>
            <w:tcW w:w="6735" w:type="dxa"/>
            <w:gridSpan w:val="3"/>
          </w:tcPr>
          <w:p w14:paraId="3A6E2861" w14:textId="23836035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  <w:r w:rsidRPr="00822A89">
              <w:rPr>
                <w:rFonts w:eastAsia="Times New Roman"/>
                <w:lang w:val="en-GB"/>
              </w:rPr>
              <w:t xml:space="preserve">Frontal lessons, practical exercises in the classroom; discussion of videos. </w:t>
            </w:r>
          </w:p>
        </w:tc>
      </w:tr>
      <w:tr w:rsidR="008F2358" w14:paraId="4CCAB163" w14:textId="77777777">
        <w:trPr>
          <w:trHeight w:val="244"/>
        </w:trPr>
        <w:tc>
          <w:tcPr>
            <w:tcW w:w="2709" w:type="dxa"/>
            <w:gridSpan w:val="2"/>
          </w:tcPr>
          <w:p w14:paraId="118646C2" w14:textId="77777777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3"/>
          </w:tcPr>
          <w:p w14:paraId="675541D0" w14:textId="67851D48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2358" w14:paraId="6786882A" w14:textId="77777777">
        <w:trPr>
          <w:trHeight w:val="243"/>
        </w:trPr>
        <w:tc>
          <w:tcPr>
            <w:tcW w:w="2709" w:type="dxa"/>
            <w:gridSpan w:val="2"/>
            <w:shd w:val="clear" w:color="auto" w:fill="B1A0C6"/>
          </w:tcPr>
          <w:p w14:paraId="1704013A" w14:textId="77777777" w:rsidR="008F2358" w:rsidRDefault="008F2358" w:rsidP="008F235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6735" w:type="dxa"/>
            <w:gridSpan w:val="3"/>
          </w:tcPr>
          <w:p w14:paraId="0FAFD4E1" w14:textId="77777777" w:rsidR="008F2358" w:rsidRDefault="008F2358" w:rsidP="008F2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2358" w14:paraId="37E1880D" w14:textId="77777777">
        <w:trPr>
          <w:trHeight w:val="1016"/>
        </w:trPr>
        <w:tc>
          <w:tcPr>
            <w:tcW w:w="2709" w:type="dxa"/>
            <w:gridSpan w:val="2"/>
          </w:tcPr>
          <w:p w14:paraId="2F229797" w14:textId="77777777" w:rsidR="008F2358" w:rsidRDefault="008F2358" w:rsidP="008F2358">
            <w:pPr>
              <w:pStyle w:val="TableParagraph"/>
              <w:spacing w:before="3"/>
              <w:ind w:left="110" w:right="1056"/>
              <w:rPr>
                <w:b/>
                <w:sz w:val="20"/>
              </w:rPr>
            </w:pPr>
            <w:r>
              <w:rPr>
                <w:b/>
                <w:sz w:val="20"/>
              </w:rPr>
              <w:t>Knowledge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6735" w:type="dxa"/>
            <w:gridSpan w:val="3"/>
          </w:tcPr>
          <w:p w14:paraId="19B8477A" w14:textId="77777777" w:rsidR="000069BF" w:rsidRPr="00F7082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Knowledge of the fundamentals of the evaluation and intervention methodology applied to the development </w:t>
            </w:r>
            <w:proofErr w:type="gramStart"/>
            <w:r w:rsidRPr="00F7082F">
              <w:rPr>
                <w:sz w:val="20"/>
                <w:szCs w:val="20"/>
                <w:lang w:val="en-GB"/>
              </w:rPr>
              <w:t>field;</w:t>
            </w:r>
            <w:proofErr w:type="gramEnd"/>
            <w:r w:rsidRPr="00F7082F">
              <w:rPr>
                <w:sz w:val="20"/>
                <w:szCs w:val="20"/>
                <w:lang w:val="en-GB"/>
              </w:rPr>
              <w:t xml:space="preserve"> </w:t>
            </w:r>
          </w:p>
          <w:p w14:paraId="4D9AD568" w14:textId="77777777" w:rsidR="000069BF" w:rsidRPr="00F7082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Knowledge of neuropsychological substrates and sensory, attentional, perceptual and executive mechanisms implicated in Neurodevelopment </w:t>
            </w:r>
            <w:proofErr w:type="gramStart"/>
            <w:r w:rsidRPr="00F7082F">
              <w:rPr>
                <w:sz w:val="20"/>
                <w:szCs w:val="20"/>
                <w:lang w:val="en-GB"/>
              </w:rPr>
              <w:t>disorders;</w:t>
            </w:r>
            <w:proofErr w:type="gramEnd"/>
          </w:p>
          <w:p w14:paraId="47F9D890" w14:textId="77777777" w:rsidR="000069BF" w:rsidRPr="00F7082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Knowledge of the main instruments to assess child’s the cognitive, neuropsychological, communicative-linguistic and executive development for the diagnosis of neurodevelopmental </w:t>
            </w:r>
            <w:proofErr w:type="gramStart"/>
            <w:r w:rsidRPr="00F7082F">
              <w:rPr>
                <w:sz w:val="20"/>
                <w:szCs w:val="20"/>
                <w:lang w:val="en-GB"/>
              </w:rPr>
              <w:t>disorders;</w:t>
            </w:r>
            <w:proofErr w:type="gramEnd"/>
          </w:p>
          <w:p w14:paraId="29E456C5" w14:textId="32C79520" w:rsidR="008F2358" w:rsidRPr="000069B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Knowledge of the main neurocognitive, educational and </w:t>
            </w:r>
            <w:proofErr w:type="spellStart"/>
            <w:r w:rsidRPr="00F7082F">
              <w:rPr>
                <w:sz w:val="20"/>
                <w:szCs w:val="20"/>
                <w:lang w:val="en-GB"/>
              </w:rPr>
              <w:t>habilitation</w:t>
            </w:r>
            <w:proofErr w:type="spellEnd"/>
            <w:r w:rsidRPr="00F7082F">
              <w:rPr>
                <w:sz w:val="20"/>
                <w:szCs w:val="20"/>
                <w:lang w:val="en-GB"/>
              </w:rPr>
              <w:t xml:space="preserve"> interventions.</w:t>
            </w:r>
          </w:p>
        </w:tc>
      </w:tr>
      <w:tr w:rsidR="008F2358" w14:paraId="13AD71D3" w14:textId="77777777">
        <w:trPr>
          <w:trHeight w:val="761"/>
        </w:trPr>
        <w:tc>
          <w:tcPr>
            <w:tcW w:w="2709" w:type="dxa"/>
            <w:gridSpan w:val="2"/>
          </w:tcPr>
          <w:p w14:paraId="622D354F" w14:textId="77777777" w:rsidR="008F2358" w:rsidRDefault="008F2358" w:rsidP="008F2358">
            <w:pPr>
              <w:pStyle w:val="TableParagraph"/>
              <w:spacing w:before="3"/>
              <w:ind w:left="110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Applying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6735" w:type="dxa"/>
            <w:gridSpan w:val="3"/>
          </w:tcPr>
          <w:p w14:paraId="33CCF54C" w14:textId="77777777" w:rsidR="000069BF" w:rsidRPr="00F7082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Ability to interpret the protocols to evaluate the child’s neuropsychological functioning with neurodevelopmental </w:t>
            </w:r>
            <w:proofErr w:type="gramStart"/>
            <w:r w:rsidRPr="00F7082F">
              <w:rPr>
                <w:sz w:val="20"/>
                <w:szCs w:val="20"/>
                <w:lang w:val="en-GB"/>
              </w:rPr>
              <w:t>disorders;</w:t>
            </w:r>
            <w:proofErr w:type="gramEnd"/>
          </w:p>
          <w:p w14:paraId="58EB46FD" w14:textId="77777777" w:rsidR="000069BF" w:rsidRPr="00F7082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Ability to identify specific psychopathological indicators for neurodevelopmental </w:t>
            </w:r>
            <w:proofErr w:type="gramStart"/>
            <w:r w:rsidRPr="00F7082F">
              <w:rPr>
                <w:sz w:val="20"/>
                <w:szCs w:val="20"/>
                <w:lang w:val="en-GB"/>
              </w:rPr>
              <w:t>disorders;</w:t>
            </w:r>
            <w:proofErr w:type="gramEnd"/>
          </w:p>
          <w:p w14:paraId="45CAE484" w14:textId="45CBA3B4" w:rsidR="008F2358" w:rsidRPr="000069BF" w:rsidRDefault="000069BF" w:rsidP="000069BF">
            <w:pPr>
              <w:adjustRightInd w:val="0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>• Ability to plan a neurocognitive rehabilitation.</w:t>
            </w:r>
          </w:p>
        </w:tc>
      </w:tr>
      <w:tr w:rsidR="008F2358" w14:paraId="02A3B0E3" w14:textId="77777777">
        <w:trPr>
          <w:trHeight w:val="1006"/>
        </w:trPr>
        <w:tc>
          <w:tcPr>
            <w:tcW w:w="2709" w:type="dxa"/>
            <w:gridSpan w:val="2"/>
          </w:tcPr>
          <w:p w14:paraId="7FF46545" w14:textId="77777777" w:rsidR="008F2358" w:rsidRDefault="008F2358" w:rsidP="008F235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6735" w:type="dxa"/>
            <w:gridSpan w:val="3"/>
          </w:tcPr>
          <w:p w14:paraId="5DDDFC0E" w14:textId="77777777" w:rsidR="008F2358" w:rsidRDefault="008F2358" w:rsidP="000069BF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Making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judgments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choices</w:t>
            </w:r>
          </w:p>
          <w:p w14:paraId="62862315" w14:textId="77777777" w:rsidR="000069BF" w:rsidRPr="00F7082F" w:rsidRDefault="000069BF" w:rsidP="000069BF">
            <w:pPr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>• Ability to interpret protocols to evaluate the neuropsychological functioning of the child with neurodevelopmental disorders.</w:t>
            </w:r>
          </w:p>
          <w:p w14:paraId="15413BE6" w14:textId="530767B3" w:rsidR="008F2358" w:rsidRPr="000069B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>• Ability to apply techniques for assessing child psychological functioning during simulated classroom experiences and to plan intervention programs.</w:t>
            </w:r>
          </w:p>
        </w:tc>
      </w:tr>
    </w:tbl>
    <w:p w14:paraId="5CC5AF22" w14:textId="77777777" w:rsidR="00F83E16" w:rsidRDefault="00F83E16">
      <w:pPr>
        <w:spacing w:line="230" w:lineRule="exact"/>
        <w:rPr>
          <w:sz w:val="20"/>
        </w:rPr>
        <w:sectPr w:rsidR="00F83E16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26DC8DD0" w14:textId="77777777" w:rsidR="00F83E16" w:rsidRPr="000069BF" w:rsidRDefault="00F83E16">
      <w:pPr>
        <w:pStyle w:val="Corpotesto"/>
        <w:rPr>
          <w:sz w:val="20"/>
        </w:rPr>
      </w:pPr>
    </w:p>
    <w:p w14:paraId="7639229A" w14:textId="77777777" w:rsidR="00F83E16" w:rsidRPr="000069BF" w:rsidRDefault="00F83E16">
      <w:pPr>
        <w:pStyle w:val="Corpotesto"/>
        <w:rPr>
          <w:sz w:val="20"/>
        </w:rPr>
      </w:pPr>
    </w:p>
    <w:p w14:paraId="08F15713" w14:textId="77777777" w:rsidR="00F83E16" w:rsidRPr="000069BF" w:rsidRDefault="00F83E16">
      <w:pPr>
        <w:pStyle w:val="Corpotesto"/>
        <w:rPr>
          <w:sz w:val="20"/>
        </w:rPr>
      </w:pPr>
    </w:p>
    <w:p w14:paraId="2DA62163" w14:textId="77777777" w:rsidR="00F83E16" w:rsidRPr="000069BF" w:rsidRDefault="00F83E16">
      <w:pPr>
        <w:pStyle w:val="Corpotesto"/>
        <w:rPr>
          <w:sz w:val="20"/>
        </w:rPr>
      </w:pPr>
    </w:p>
    <w:p w14:paraId="595B9041" w14:textId="77777777" w:rsidR="00F83E16" w:rsidRPr="000069BF" w:rsidRDefault="00F83E16">
      <w:pPr>
        <w:pStyle w:val="Corpotesto"/>
        <w:rPr>
          <w:sz w:val="20"/>
        </w:rPr>
      </w:pPr>
    </w:p>
    <w:p w14:paraId="28B9FDC8" w14:textId="77777777" w:rsidR="00F83E16" w:rsidRPr="000069BF" w:rsidRDefault="00F83E16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F83E16" w14:paraId="26DF644E" w14:textId="77777777">
        <w:trPr>
          <w:trHeight w:val="1504"/>
        </w:trPr>
        <w:tc>
          <w:tcPr>
            <w:tcW w:w="2706" w:type="dxa"/>
          </w:tcPr>
          <w:p w14:paraId="0249B847" w14:textId="77777777" w:rsidR="00F83E16" w:rsidRPr="000069BF" w:rsidRDefault="00F83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8" w:type="dxa"/>
          </w:tcPr>
          <w:p w14:paraId="6A12BD4A" w14:textId="77777777" w:rsidR="00F83E16" w:rsidRDefault="0049451A" w:rsidP="000069BF">
            <w:pPr>
              <w:pStyle w:val="TableParagraph"/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Communicating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</w:p>
          <w:p w14:paraId="5F8CB3B4" w14:textId="77777777" w:rsidR="000069BF" w:rsidRPr="00F7082F" w:rsidRDefault="000069BF" w:rsidP="000069BF">
            <w:pPr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>Expertise in using the subject’s specialized language as to developmental neuropsychology.</w:t>
            </w:r>
          </w:p>
          <w:p w14:paraId="65E58D1C" w14:textId="77777777" w:rsidR="00F83E16" w:rsidRDefault="0049451A" w:rsidP="000069BF">
            <w:pPr>
              <w:pStyle w:val="TableParagraph"/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Capacities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66D0EF1A" w14:textId="77777777" w:rsidR="000069BF" w:rsidRPr="00F7082F" w:rsidRDefault="000069BF" w:rsidP="000069BF">
            <w:pPr>
              <w:jc w:val="both"/>
              <w:rPr>
                <w:sz w:val="20"/>
                <w:szCs w:val="20"/>
                <w:lang w:val="en-GB"/>
              </w:rPr>
            </w:pPr>
            <w:r w:rsidRPr="00F7082F">
              <w:rPr>
                <w:sz w:val="20"/>
                <w:szCs w:val="20"/>
                <w:lang w:val="en-GB"/>
              </w:rPr>
              <w:t>• Ability to project a correct diagnostic procedure as to neurodevelopment disorders.</w:t>
            </w:r>
          </w:p>
          <w:p w14:paraId="32634F21" w14:textId="7871A04B" w:rsidR="00F83E16" w:rsidRDefault="000069BF" w:rsidP="000069BF">
            <w:pPr>
              <w:pStyle w:val="TableParagraph"/>
              <w:tabs>
                <w:tab w:val="left" w:pos="838"/>
              </w:tabs>
              <w:spacing w:line="213" w:lineRule="exact"/>
              <w:rPr>
                <w:sz w:val="20"/>
              </w:rPr>
            </w:pPr>
            <w:r w:rsidRPr="00F7082F">
              <w:rPr>
                <w:sz w:val="20"/>
                <w:szCs w:val="20"/>
                <w:lang w:val="en-GB"/>
              </w:rPr>
              <w:t xml:space="preserve">• Ability to evaluate the effectiveness of a neuropsychological, </w:t>
            </w:r>
            <w:proofErr w:type="gramStart"/>
            <w:r w:rsidRPr="00F7082F">
              <w:rPr>
                <w:sz w:val="20"/>
                <w:szCs w:val="20"/>
                <w:lang w:val="en-GB"/>
              </w:rPr>
              <w:t>cognitive</w:t>
            </w:r>
            <w:proofErr w:type="gramEnd"/>
            <w:r w:rsidRPr="00F7082F">
              <w:rPr>
                <w:sz w:val="20"/>
                <w:szCs w:val="20"/>
                <w:lang w:val="en-GB"/>
              </w:rPr>
              <w:t xml:space="preserve"> and educational intervention.</w:t>
            </w:r>
          </w:p>
        </w:tc>
      </w:tr>
      <w:tr w:rsidR="00F83E16" w14:paraId="22BF3809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6317CA78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6178A63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1CD56DF7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6738" w:type="dxa"/>
          </w:tcPr>
          <w:p w14:paraId="42E85527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06DAA353" w14:textId="77777777">
        <w:trPr>
          <w:trHeight w:val="244"/>
        </w:trPr>
        <w:tc>
          <w:tcPr>
            <w:tcW w:w="2706" w:type="dxa"/>
          </w:tcPr>
          <w:p w14:paraId="3024F446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6738" w:type="dxa"/>
          </w:tcPr>
          <w:p w14:paraId="5FF799BE" w14:textId="77777777" w:rsidR="000069BF" w:rsidRPr="00F7082F" w:rsidRDefault="000069BF" w:rsidP="000069BF">
            <w:pPr>
              <w:rPr>
                <w:rFonts w:eastAsia="Times New Roman"/>
              </w:rPr>
            </w:pPr>
            <w:r w:rsidRPr="00F7082F">
              <w:rPr>
                <w:rFonts w:eastAsia="Times New Roman"/>
              </w:rPr>
              <w:t>The exam will be oral unless the number of students taking the</w:t>
            </w:r>
          </w:p>
          <w:p w14:paraId="14BBE205" w14:textId="38D1E684" w:rsidR="00F83E16" w:rsidRDefault="000069BF" w:rsidP="000069BF">
            <w:pPr>
              <w:pStyle w:val="TableParagraph"/>
              <w:rPr>
                <w:rFonts w:ascii="Times New Roman"/>
                <w:sz w:val="16"/>
              </w:rPr>
            </w:pPr>
            <w:r w:rsidRPr="00F7082F">
              <w:rPr>
                <w:rFonts w:eastAsia="Times New Roman"/>
              </w:rPr>
              <w:t xml:space="preserve">exam is higher than </w:t>
            </w:r>
            <w:r>
              <w:rPr>
                <w:rFonts w:eastAsia="Times New Roman"/>
              </w:rPr>
              <w:t>1</w:t>
            </w:r>
            <w:r w:rsidRPr="00F7082F">
              <w:rPr>
                <w:rFonts w:eastAsia="Times New Roman"/>
              </w:rPr>
              <w:t>0, in which case the exam will be written.</w:t>
            </w:r>
            <w:r>
              <w:rPr>
                <w:rFonts w:eastAsia="Times New Roman"/>
              </w:rPr>
              <w:t xml:space="preserve"> </w:t>
            </w:r>
            <w:r w:rsidRPr="00F7082F">
              <w:rPr>
                <w:rFonts w:eastAsia="Times New Roman"/>
              </w:rPr>
              <w:t>Two written exemptions will be provided for attending students, over the course duration, which will replace the final exam.</w:t>
            </w:r>
          </w:p>
        </w:tc>
      </w:tr>
      <w:tr w:rsidR="00F83E16" w14:paraId="347EB6AF" w14:textId="77777777">
        <w:trPr>
          <w:trHeight w:val="2887"/>
        </w:trPr>
        <w:tc>
          <w:tcPr>
            <w:tcW w:w="2706" w:type="dxa"/>
          </w:tcPr>
          <w:p w14:paraId="0CB861E6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6738" w:type="dxa"/>
          </w:tcPr>
          <w:p w14:paraId="1890779E" w14:textId="5843D712" w:rsidR="00F83E16" w:rsidRDefault="0049451A" w:rsidP="000069BF">
            <w:pPr>
              <w:pStyle w:val="TableParagraph"/>
              <w:tabs>
                <w:tab w:val="left" w:pos="531"/>
                <w:tab w:val="left" w:pos="532"/>
              </w:tabs>
              <w:spacing w:line="26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</w:p>
          <w:p w14:paraId="65E95309" w14:textId="06FDA718" w:rsidR="000069BF" w:rsidRPr="000069BF" w:rsidRDefault="001B7D26" w:rsidP="000069BF">
            <w:pPr>
              <w:pStyle w:val="TableParagraph"/>
              <w:tabs>
                <w:tab w:val="left" w:pos="531"/>
                <w:tab w:val="left" w:pos="532"/>
              </w:tabs>
              <w:spacing w:line="278" w:lineRule="exact"/>
              <w:rPr>
                <w:i/>
                <w:sz w:val="20"/>
              </w:rPr>
            </w:pPr>
            <w:r>
              <w:rPr>
                <w:rFonts w:eastAsia="Times New Roman"/>
              </w:rPr>
              <w:t>Th</w:t>
            </w:r>
            <w:r w:rsidRPr="001B7D26">
              <w:rPr>
                <w:rFonts w:eastAsia="Times New Roman"/>
              </w:rPr>
              <w:t xml:space="preserve">e following abilities will be assessed through </w:t>
            </w:r>
            <w:r>
              <w:rPr>
                <w:rFonts w:eastAsia="Times New Roman"/>
              </w:rPr>
              <w:t>k</w:t>
            </w:r>
            <w:r w:rsidR="000069BF" w:rsidRPr="000069BF">
              <w:rPr>
                <w:rFonts w:eastAsia="Times New Roman"/>
              </w:rPr>
              <w:t>nowledge of the different neurodevelopmental disorders and typical functions. Furthermore, the knowledge of the main theoretical models and of the tools / procedures for the assessment of cognitive and neuropsychological development will be verified.</w:t>
            </w:r>
          </w:p>
          <w:p w14:paraId="1F85822B" w14:textId="77777777" w:rsidR="000069BF" w:rsidRDefault="000069BF" w:rsidP="000069BF">
            <w:pPr>
              <w:pStyle w:val="TableParagraph"/>
              <w:tabs>
                <w:tab w:val="left" w:pos="531"/>
                <w:tab w:val="left" w:pos="532"/>
              </w:tabs>
              <w:spacing w:line="278" w:lineRule="exact"/>
              <w:ind w:left="838"/>
              <w:rPr>
                <w:i/>
                <w:sz w:val="20"/>
              </w:rPr>
            </w:pPr>
          </w:p>
          <w:p w14:paraId="1B322C6A" w14:textId="06C06F96" w:rsidR="00F83E16" w:rsidRDefault="0049451A" w:rsidP="000069BF">
            <w:pPr>
              <w:pStyle w:val="TableParagraph"/>
              <w:tabs>
                <w:tab w:val="left" w:pos="531"/>
                <w:tab w:val="left" w:pos="532"/>
              </w:tabs>
              <w:spacing w:line="27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Applying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</w:p>
          <w:p w14:paraId="524628A7" w14:textId="520D248F" w:rsidR="000069BF" w:rsidRPr="000069BF" w:rsidRDefault="001B7D26" w:rsidP="000069BF">
            <w:pPr>
              <w:pStyle w:val="TableParagraph"/>
              <w:tabs>
                <w:tab w:val="left" w:pos="531"/>
                <w:tab w:val="left" w:pos="532"/>
              </w:tabs>
              <w:spacing w:line="277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Th</w:t>
            </w:r>
            <w:r w:rsidRPr="001B7D26">
              <w:rPr>
                <w:rFonts w:eastAsia="Times New Roman"/>
              </w:rPr>
              <w:t xml:space="preserve">e following abilities will be assessed through </w:t>
            </w:r>
            <w:r w:rsidR="000069BF" w:rsidRPr="000069BF">
              <w:rPr>
                <w:rFonts w:eastAsia="Times New Roman"/>
              </w:rPr>
              <w:t xml:space="preserve">correctly interpret the profiles of cognitive and </w:t>
            </w:r>
            <w:r>
              <w:rPr>
                <w:rFonts w:eastAsia="Times New Roman"/>
              </w:rPr>
              <w:t>behavioral</w:t>
            </w:r>
            <w:r w:rsidR="000069BF" w:rsidRPr="000069BF">
              <w:rPr>
                <w:rFonts w:eastAsia="Times New Roman"/>
              </w:rPr>
              <w:t>. The ability to identify specific psychopathological indicators for neurodevelopmental disorders and to plan neurocognitive rehabilitation will be evaluated.</w:t>
            </w:r>
          </w:p>
          <w:p w14:paraId="0B640B29" w14:textId="77777777" w:rsidR="001B7D26" w:rsidRDefault="001B7D26" w:rsidP="000069BF">
            <w:pPr>
              <w:pStyle w:val="TableParagraph"/>
              <w:tabs>
                <w:tab w:val="left" w:pos="531"/>
                <w:tab w:val="left" w:pos="532"/>
              </w:tabs>
              <w:spacing w:line="277" w:lineRule="exact"/>
              <w:rPr>
                <w:i/>
                <w:sz w:val="20"/>
              </w:rPr>
            </w:pPr>
          </w:p>
          <w:p w14:paraId="263EEAD8" w14:textId="5D406B5F" w:rsidR="00F83E16" w:rsidRDefault="0049451A" w:rsidP="000069BF">
            <w:pPr>
              <w:pStyle w:val="TableParagraph"/>
              <w:tabs>
                <w:tab w:val="left" w:pos="531"/>
                <w:tab w:val="left" w:pos="532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Autonomy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judgment</w:t>
            </w:r>
          </w:p>
          <w:p w14:paraId="7DD742FE" w14:textId="634A00C7" w:rsidR="000069BF" w:rsidRPr="000069BF" w:rsidRDefault="000069BF" w:rsidP="000069BF">
            <w:pPr>
              <w:pStyle w:val="TableParagraph"/>
              <w:tabs>
                <w:tab w:val="left" w:pos="531"/>
                <w:tab w:val="left" w:pos="532"/>
              </w:tabs>
              <w:spacing w:line="277" w:lineRule="exact"/>
              <w:rPr>
                <w:rFonts w:eastAsia="Times New Roman"/>
              </w:rPr>
            </w:pPr>
            <w:r w:rsidRPr="000069BF">
              <w:rPr>
                <w:rFonts w:eastAsia="Times New Roman"/>
              </w:rPr>
              <w:t xml:space="preserve">The ability to plan neurocognitive rehabilitation will be verified, with </w:t>
            </w:r>
            <w:proofErr w:type="gramStart"/>
            <w:r w:rsidRPr="000069BF">
              <w:rPr>
                <w:rFonts w:eastAsia="Times New Roman"/>
              </w:rPr>
              <w:t>particular reference</w:t>
            </w:r>
            <w:proofErr w:type="gramEnd"/>
            <w:r w:rsidRPr="000069BF">
              <w:rPr>
                <w:rFonts w:eastAsia="Times New Roman"/>
              </w:rPr>
              <w:t xml:space="preserve"> to behavioral disorders.</w:t>
            </w:r>
          </w:p>
          <w:p w14:paraId="51FD1264" w14:textId="77777777" w:rsidR="000069BF" w:rsidRDefault="000069BF" w:rsidP="000069BF">
            <w:pPr>
              <w:pStyle w:val="TableParagraph"/>
              <w:tabs>
                <w:tab w:val="left" w:pos="531"/>
                <w:tab w:val="left" w:pos="532"/>
              </w:tabs>
              <w:spacing w:line="278" w:lineRule="exact"/>
              <w:rPr>
                <w:i/>
                <w:sz w:val="20"/>
              </w:rPr>
            </w:pPr>
          </w:p>
          <w:p w14:paraId="56C4216E" w14:textId="371721C8" w:rsidR="00F83E16" w:rsidRDefault="0049451A" w:rsidP="000069BF">
            <w:pPr>
              <w:pStyle w:val="TableParagraph"/>
              <w:tabs>
                <w:tab w:val="left" w:pos="531"/>
                <w:tab w:val="left" w:pos="53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Communicating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</w:p>
          <w:p w14:paraId="0D77BB0B" w14:textId="12D1FE5A" w:rsidR="001B7D26" w:rsidRDefault="001B7D26" w:rsidP="000069BF">
            <w:pPr>
              <w:pStyle w:val="TableParagraph"/>
              <w:tabs>
                <w:tab w:val="left" w:pos="531"/>
                <w:tab w:val="left" w:pos="532"/>
              </w:tabs>
              <w:rPr>
                <w:i/>
                <w:sz w:val="20"/>
              </w:rPr>
            </w:pPr>
            <w:r>
              <w:rPr>
                <w:rFonts w:eastAsia="Times New Roman"/>
              </w:rPr>
              <w:t>T</w:t>
            </w:r>
            <w:r w:rsidRPr="001B7D26">
              <w:rPr>
                <w:rFonts w:eastAsia="Times New Roman"/>
              </w:rPr>
              <w:t>he following abilities will be assessed through practical exercises and cases</w:t>
            </w:r>
            <w:r>
              <w:rPr>
                <w:i/>
                <w:sz w:val="20"/>
              </w:rPr>
              <w:t>.</w:t>
            </w:r>
          </w:p>
          <w:p w14:paraId="27768F29" w14:textId="77777777" w:rsidR="001B7D26" w:rsidRDefault="001B7D26" w:rsidP="000069BF">
            <w:pPr>
              <w:pStyle w:val="TableParagraph"/>
              <w:tabs>
                <w:tab w:val="left" w:pos="359"/>
                <w:tab w:val="left" w:pos="532"/>
              </w:tabs>
              <w:spacing w:line="277" w:lineRule="exact"/>
              <w:ind w:right="4316"/>
              <w:rPr>
                <w:i/>
                <w:sz w:val="20"/>
              </w:rPr>
            </w:pPr>
          </w:p>
          <w:p w14:paraId="5D925433" w14:textId="1D1771D4" w:rsidR="00F83E16" w:rsidRDefault="0049451A" w:rsidP="000069BF">
            <w:pPr>
              <w:pStyle w:val="TableParagraph"/>
              <w:tabs>
                <w:tab w:val="left" w:pos="359"/>
                <w:tab w:val="left" w:pos="532"/>
              </w:tabs>
              <w:spacing w:line="277" w:lineRule="exact"/>
              <w:ind w:right="4316"/>
              <w:rPr>
                <w:i/>
                <w:sz w:val="20"/>
              </w:rPr>
            </w:pPr>
            <w:r>
              <w:rPr>
                <w:i/>
                <w:sz w:val="20"/>
              </w:rPr>
              <w:t>Communication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</w:p>
          <w:p w14:paraId="51B513D3" w14:textId="0CE48D8D" w:rsidR="00F83E16" w:rsidRPr="001B7D26" w:rsidRDefault="001B7D26" w:rsidP="001B7D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0069BF">
              <w:rPr>
                <w:rFonts w:ascii="Calibri" w:hAnsi="Calibri" w:cs="Calibri"/>
                <w:sz w:val="20"/>
                <w:szCs w:val="20"/>
                <w:lang w:val="en-US"/>
              </w:rPr>
              <w:t>he following abilities will be assessed through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B7D26">
              <w:rPr>
                <w:rFonts w:ascii="Calibri" w:hAnsi="Calibri" w:cs="Calibri"/>
                <w:sz w:val="20"/>
                <w:szCs w:val="20"/>
                <w:lang w:val="en-US"/>
              </w:rPr>
              <w:t>the capacity to use a specialized and sectorial language in reference to the contents learned during the course will be verified.</w:t>
            </w:r>
          </w:p>
          <w:p w14:paraId="77C8A197" w14:textId="77777777" w:rsidR="001B7D26" w:rsidRDefault="001B7D26" w:rsidP="001B7D26">
            <w:pPr>
              <w:pStyle w:val="TableParagraph"/>
              <w:tabs>
                <w:tab w:val="left" w:pos="838"/>
              </w:tabs>
              <w:spacing w:line="221" w:lineRule="exact"/>
              <w:ind w:left="838" w:right="4199"/>
              <w:rPr>
                <w:rFonts w:ascii="Courier New" w:hAnsi="Courier New"/>
                <w:sz w:val="20"/>
              </w:rPr>
            </w:pPr>
          </w:p>
          <w:p w14:paraId="2AC663B0" w14:textId="77777777" w:rsidR="00F83E16" w:rsidRDefault="0049451A" w:rsidP="001B7D26">
            <w:pPr>
              <w:pStyle w:val="TableParagraph"/>
              <w:tabs>
                <w:tab w:val="left" w:pos="531"/>
                <w:tab w:val="left" w:pos="53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Capacities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2097B24F" w14:textId="7DDE52E9" w:rsidR="001B7D26" w:rsidRPr="001B7D26" w:rsidRDefault="001B7D26" w:rsidP="001B7D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1B7D26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1B7D2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 following abilities will be assessed through practical exercises and cases: 1. ability to read and interpret the protocols of the main instruments for the child’s psychological assessment </w:t>
            </w:r>
          </w:p>
          <w:p w14:paraId="17EB2F35" w14:textId="2C1255D4" w:rsidR="00F83E16" w:rsidRDefault="00F83E16" w:rsidP="001B7D26">
            <w:pPr>
              <w:pStyle w:val="TableParagraph"/>
              <w:spacing w:line="201" w:lineRule="exact"/>
              <w:rPr>
                <w:rFonts w:ascii="Courier New"/>
                <w:sz w:val="20"/>
              </w:rPr>
            </w:pPr>
          </w:p>
        </w:tc>
      </w:tr>
      <w:tr w:rsidR="00F83E16" w14:paraId="6125877D" w14:textId="77777777">
        <w:trPr>
          <w:trHeight w:val="488"/>
        </w:trPr>
        <w:tc>
          <w:tcPr>
            <w:tcW w:w="2706" w:type="dxa"/>
          </w:tcPr>
          <w:p w14:paraId="7C33146A" w14:textId="77777777" w:rsidR="00F83E16" w:rsidRDefault="0049451A">
            <w:pPr>
              <w:pStyle w:val="TableParagraph"/>
              <w:spacing w:line="240" w:lineRule="atLeast"/>
              <w:ind w:left="110" w:right="328"/>
              <w:rPr>
                <w:sz w:val="20"/>
              </w:rPr>
            </w:pPr>
            <w:r>
              <w:rPr>
                <w:sz w:val="20"/>
              </w:rPr>
              <w:t>Criteria for assessment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attribution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</w:tc>
        <w:tc>
          <w:tcPr>
            <w:tcW w:w="6738" w:type="dxa"/>
          </w:tcPr>
          <w:p w14:paraId="4EA3133A" w14:textId="06F90143" w:rsidR="00F83E16" w:rsidRPr="000069BF" w:rsidRDefault="000069BF" w:rsidP="000069BF">
            <w:pPr>
              <w:pStyle w:val="NormaleWeb"/>
              <w:rPr>
                <w:lang w:val="en-US"/>
              </w:rPr>
            </w:pPr>
            <w:r w:rsidRPr="000069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Based on the criteria described above, a score on a 30-point scale will be given. </w:t>
            </w:r>
          </w:p>
        </w:tc>
      </w:tr>
      <w:tr w:rsidR="00F83E16" w14:paraId="01CBB7A0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77CBA411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6738" w:type="dxa"/>
          </w:tcPr>
          <w:p w14:paraId="5A622253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9BA0BB0" w14:textId="77777777">
        <w:trPr>
          <w:trHeight w:val="243"/>
        </w:trPr>
        <w:tc>
          <w:tcPr>
            <w:tcW w:w="2706" w:type="dxa"/>
          </w:tcPr>
          <w:p w14:paraId="7F50370F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435D34A9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5F460B" w14:textId="77777777" w:rsidR="0049451A" w:rsidRDefault="0049451A"/>
    <w:sectPr w:rsidR="0049451A">
      <w:pgSz w:w="11910" w:h="16840"/>
      <w:pgMar w:top="7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614"/>
    <w:multiLevelType w:val="hybridMultilevel"/>
    <w:tmpl w:val="9C34E848"/>
    <w:lvl w:ilvl="0" w:tplc="A4B2D33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C91EFE5A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6A56EDD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 w:tplc="A6464ED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841A802E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DCAE91E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C42ED35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7" w:tplc="5BE00AB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8" w:tplc="3DAEC1A6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280E5B"/>
    <w:multiLevelType w:val="hybridMultilevel"/>
    <w:tmpl w:val="DE7E42A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D7784"/>
    <w:multiLevelType w:val="hybridMultilevel"/>
    <w:tmpl w:val="9B3AABF6"/>
    <w:lvl w:ilvl="0" w:tplc="A806A1DC">
      <w:numFmt w:val="bullet"/>
      <w:lvlText w:val="•"/>
      <w:lvlJc w:val="left"/>
      <w:pPr>
        <w:ind w:left="467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ED186C5E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C2D6130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8682BC2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4" w:tplc="8C7010D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 w:tplc="F1226E4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6" w:tplc="D8B8B6E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7" w:tplc="CE320550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8" w:tplc="48EC1CD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9C71F8"/>
    <w:multiLevelType w:val="hybridMultilevel"/>
    <w:tmpl w:val="ED8A5AE4"/>
    <w:lvl w:ilvl="0" w:tplc="3BD480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BD30CD"/>
    <w:multiLevelType w:val="hybridMultilevel"/>
    <w:tmpl w:val="E386337C"/>
    <w:lvl w:ilvl="0" w:tplc="7E2499C4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77CE91F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142E703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24C4FA8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43DE2A28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5" w:tplc="B468850C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A9EA2652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7DCC5AA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8" w:tplc="C1E8565E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084049F"/>
    <w:multiLevelType w:val="hybridMultilevel"/>
    <w:tmpl w:val="F73EC022"/>
    <w:lvl w:ilvl="0" w:tplc="58285A8C">
      <w:numFmt w:val="bullet"/>
      <w:lvlText w:val="•"/>
      <w:lvlJc w:val="left"/>
      <w:pPr>
        <w:ind w:left="532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45EE44F4">
      <w:numFmt w:val="bullet"/>
      <w:lvlText w:val="o"/>
      <w:lvlJc w:val="left"/>
      <w:pPr>
        <w:ind w:left="838" w:hanging="360"/>
      </w:pPr>
      <w:rPr>
        <w:rFonts w:hint="default"/>
        <w:w w:val="100"/>
        <w:lang w:val="en-US" w:eastAsia="en-US" w:bidi="ar-SA"/>
      </w:rPr>
    </w:lvl>
    <w:lvl w:ilvl="2" w:tplc="93EC3FA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 w:tplc="4D648D1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E56CFD7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AF4EEF8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B6508BA6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7" w:tplc="C2AE268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8" w:tplc="CE10DB08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E0B5E04"/>
    <w:multiLevelType w:val="hybridMultilevel"/>
    <w:tmpl w:val="30DE14C2"/>
    <w:lvl w:ilvl="0" w:tplc="B204EA3A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6494EA4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948C52E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C07E1A4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3536A3E2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5" w:tplc="933E4920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B7F481B6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A9F2200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8" w:tplc="4E44D62A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E16"/>
    <w:rsid w:val="000069BF"/>
    <w:rsid w:val="001B7D26"/>
    <w:rsid w:val="0049451A"/>
    <w:rsid w:val="007A618F"/>
    <w:rsid w:val="008F2358"/>
    <w:rsid w:val="00EC3651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6D6F"/>
  <w15:docId w15:val="{E91FBE44-AEBC-4C34-836F-8B5A02C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8F23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oSpacing">
    <w:name w:val="No Spacing"/>
    <w:rsid w:val="008F2358"/>
    <w:pPr>
      <w:widowControl/>
      <w:autoSpaceDE/>
      <w:autoSpaceDN/>
    </w:pPr>
    <w:rPr>
      <w:rFonts w:ascii="Calibri" w:eastAsia="MS ??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cristina semeraro</cp:lastModifiedBy>
  <cp:revision>2</cp:revision>
  <dcterms:created xsi:type="dcterms:W3CDTF">2021-09-10T11:23:00Z</dcterms:created>
  <dcterms:modified xsi:type="dcterms:W3CDTF">2021-09-10T11:23:00Z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