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6F" w:rsidRDefault="0091456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56" w:type="dxa"/>
        <w:jc w:val="center"/>
        <w:tblInd w:w="0" w:type="dxa"/>
        <w:tblLayout w:type="fixed"/>
        <w:tblLook w:val="0000"/>
      </w:tblPr>
      <w:tblGrid>
        <w:gridCol w:w="5058"/>
        <w:gridCol w:w="270"/>
        <w:gridCol w:w="1241"/>
        <w:gridCol w:w="1422"/>
        <w:gridCol w:w="2665"/>
      </w:tblGrid>
      <w:tr w:rsidR="0091456F">
        <w:trPr>
          <w:trHeight w:val="979"/>
          <w:jc w:val="center"/>
        </w:trPr>
        <w:tc>
          <w:tcPr>
            <w:tcW w:w="1065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BIOGRAPHICAL SKETCH</w:t>
            </w:r>
          </w:p>
          <w:p w:rsidR="0091456F" w:rsidRDefault="009145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1456F">
        <w:trPr>
          <w:trHeight w:val="216"/>
          <w:jc w:val="center"/>
        </w:trPr>
        <w:tc>
          <w:tcPr>
            <w:tcW w:w="1065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456F" w:rsidRDefault="009145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91456F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bottom w:w="14" w:type="dxa"/>
            </w:tcMar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NAME</w:t>
            </w:r>
          </w:p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Giulio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Pergola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000000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POSITION TITLE</w:t>
            </w:r>
          </w:p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Assistant Professor in Biological Psychology</w:t>
            </w:r>
          </w:p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Lab Director - Brain Imaging, Networks and Data mining (Psychiatric Neuroscience Group, Bari)</w:t>
            </w:r>
          </w:p>
        </w:tc>
      </w:tr>
      <w:tr w:rsidR="0091456F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bottom w:w="14" w:type="dxa"/>
            </w:tcMar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COMMONS USER NAME (credential, e.g., agency login)</w:t>
            </w:r>
          </w:p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PERG_NIH, UNIVERSITY OF BARI</w:t>
            </w:r>
          </w:p>
        </w:tc>
        <w:tc>
          <w:tcPr>
            <w:tcW w:w="5328" w:type="dxa"/>
            <w:gridSpan w:val="3"/>
            <w:vMerge/>
            <w:tcBorders>
              <w:top w:val="single" w:sz="6" w:space="0" w:color="000000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91456F" w:rsidRDefault="009145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1456F">
        <w:trPr>
          <w:trHeight w:val="43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000000"/>
            </w:tcBorders>
            <w:vAlign w:val="center"/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EDUCATION/TRAINING 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(Begin with baccalaureate or other initial professional education, such as nursing, include postdoctoral training and residency training if applicable.)</w:t>
            </w:r>
          </w:p>
        </w:tc>
      </w:tr>
      <w:tr w:rsidR="0091456F">
        <w:trPr>
          <w:jc w:val="center"/>
        </w:trPr>
        <w:tc>
          <w:tcPr>
            <w:tcW w:w="5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DEGREE</w:t>
            </w:r>
          </w:p>
        </w:tc>
        <w:tc>
          <w:tcPr>
            <w:tcW w:w="14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MM/YY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FIELD OF STUDY</w:t>
            </w:r>
          </w:p>
        </w:tc>
      </w:tr>
      <w:tr w:rsidR="0091456F">
        <w:trPr>
          <w:jc w:val="center"/>
        </w:trPr>
        <w:tc>
          <w:tcPr>
            <w:tcW w:w="5058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University of Bari Aldo Moro (UNIBA), Italy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M.S.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07/2007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Biology</w:t>
            </w:r>
          </w:p>
        </w:tc>
      </w:tr>
      <w:tr w:rsidR="0091456F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International Graduate School of Neuroscience, Ruhr-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Universität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Bochum (RUB), Germany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Ph.D.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11/2011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Neuroscience</w:t>
            </w:r>
          </w:p>
        </w:tc>
      </w:tr>
      <w:tr w:rsidR="0091456F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Neuroscience Area, International School for Advanced Studies (SISSA), Trieste, Italy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Postdoctoral training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04/2013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Cognitive Neuroscience</w:t>
            </w:r>
          </w:p>
        </w:tc>
      </w:tr>
      <w:tr w:rsidR="0091456F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UNIBA, Bari, Italy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Habilitation: Associate Professorship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04/2017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Biological Psychology</w:t>
            </w:r>
          </w:p>
        </w:tc>
      </w:tr>
      <w:tr w:rsidR="0091456F">
        <w:trPr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UNIBA, Bari, Italy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Habilitation: Full Professorship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11/2020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91456F" w:rsidRDefault="00562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Biological Psychology</w:t>
            </w:r>
          </w:p>
        </w:tc>
      </w:tr>
    </w:tbl>
    <w:p w:rsidR="0091456F" w:rsidRDefault="0091456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  <w:sectPr w:rsidR="0091456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91456F" w:rsidRDefault="0056291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A.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Personal Statement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am interested in how brain and mind change. Development, experience, and aging affect our brain and ultimately define who we are. I study how genes, environment, and experience determine inter-individual variability. My current research focus is on schiz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ophrenia. Our lab works to connect layers of biological systems from cells to brain circuits and behavior. 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obtained my PhD at RUB in Bochum (Germany; Marie Curie Early Stage Training) at the International Graduate School of Neuroscience, with the superv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ision of Prof.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Daum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and Prof.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Suchan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I received additional training and funding by the RUB Research School and the German Academic Exchange Service (DAAD).</w:t>
      </w:r>
      <w:r>
        <w:rPr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postdoc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at the Italian excellence campus SISSA (Trieste, Italy) enriched my training in cognitive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neuroscience.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Since May 2013, I have been assistant professor at UNIBA, in the Psychiatric Neuroscience Group of Prof. Alessandro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Bertolino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Over the last years, I shifted my research focus from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neuroimaging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to functional genomics to investigate the neura</w:t>
      </w:r>
      <w:r>
        <w:rPr>
          <w:rFonts w:ascii="Arial" w:eastAsia="Arial" w:hAnsi="Arial" w:cs="Arial"/>
          <w:color w:val="000000"/>
          <w:sz w:val="22"/>
          <w:szCs w:val="22"/>
        </w:rPr>
        <w:t>l substrates of cognitive and clinical inter-individual variability, especially with reference to schizophrenia. I aim to understand brain development and intermediate phenotypes of schizophrenia through gene co-expression network analysis and computationa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 genetics. 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Since November 2018, I have a double affiliation as director of the lab of Brain Imaging, Networks and Data mining at UNIBA and as visiting scientist at the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Lieber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Institute of Brain Development (LIBD) in Baltimore, MD. The prestigious Marie 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urie fellowship I have obtained endowed UNIBA with a tenure-track professorship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cofunded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by the Italian Ministry of University and Research (the second professorship of this kind awarded in Italy). My long-term goal is to investigate the biology of inter-i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ndividual variability in healthy and pathological neurodevelopment. </w:t>
      </w:r>
    </w:p>
    <w:p w:rsidR="0091456F" w:rsidRDefault="0056291B">
      <w:pPr>
        <w:pStyle w:val="normal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60" w:after="120"/>
        <w:ind w:left="426" w:hanging="426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Positions and Honors</w:t>
      </w:r>
    </w:p>
    <w:p w:rsidR="0091456F" w:rsidRDefault="0056291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Positions and Employment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2006-2007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Technical assistant, Department of Zoology, UNIBA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2008-2010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Marie Curie Early Stage Researcher (PhD student), Institute of Cognit</w:t>
      </w:r>
      <w:r>
        <w:rPr>
          <w:rFonts w:ascii="Arial" w:eastAsia="Arial" w:hAnsi="Arial" w:cs="Arial"/>
          <w:color w:val="000000"/>
          <w:sz w:val="22"/>
          <w:szCs w:val="22"/>
        </w:rPr>
        <w:t>ive Neuroscience, RUB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2010-2011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Research associate, Department of Neuropsychology, RUB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2012-2013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Postdoctoral fellow, Neuroscience Area, SISSA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2013-2018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Assistant Professor in Psychiatry, Department of Basic Medical Science, Neuroscience and Sense Organs, UNIBA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2018-</w:t>
      </w:r>
      <w:r>
        <w:rPr>
          <w:rFonts w:ascii="Arial" w:eastAsia="Arial" w:hAnsi="Arial" w:cs="Arial"/>
          <w:color w:val="000000"/>
          <w:sz w:val="22"/>
          <w:szCs w:val="22"/>
        </w:rPr>
        <w:tab/>
        <w:t>Tenure-track Assistant Professor in Biological Psychology, Department of Basic Medical Science, Neuroscience and Sense Organs, UNIBA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2018-</w:t>
      </w:r>
      <w:r>
        <w:rPr>
          <w:rFonts w:ascii="Arial" w:eastAsia="Arial" w:hAnsi="Arial" w:cs="Arial"/>
          <w:color w:val="000000"/>
          <w:sz w:val="22"/>
          <w:szCs w:val="22"/>
        </w:rPr>
        <w:tab/>
        <w:t>Vi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siting Scientist in the Gene Networks unit of the LIBD </w:t>
      </w:r>
    </w:p>
    <w:p w:rsidR="0091456F" w:rsidRDefault="0056291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Professional Experience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2009-2010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Novobrain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Conferences, RUB: “Mechanisms of cognition, learning, and memory”, co-organizer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2009</w:t>
      </w:r>
      <w:r>
        <w:rPr>
          <w:rFonts w:ascii="Arial" w:eastAsia="Arial" w:hAnsi="Arial" w:cs="Arial"/>
          <w:color w:val="000000"/>
          <w:sz w:val="22"/>
          <w:szCs w:val="22"/>
        </w:rPr>
        <w:tab/>
        <w:t>Scientific meeting at the International Graduate School of Neuroscienc</w:t>
      </w:r>
      <w:r>
        <w:rPr>
          <w:rFonts w:ascii="Arial" w:eastAsia="Arial" w:hAnsi="Arial" w:cs="Arial"/>
          <w:color w:val="000000"/>
          <w:sz w:val="22"/>
          <w:szCs w:val="22"/>
        </w:rPr>
        <w:t>e, RUB: “Involvement of the thalamus in declarative memory”, co-organizer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2010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Scientific meeting at the International Graduate School of Neuroscience, RUB: “Seekers of Emotion: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Neuroscientific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understanding of affective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behaviour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”, co-organizer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2013-2015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Acting coordinator of the WP3 for the IMAGEMEND European collaboration project (Grant Agreement Number: 602450). The PI of WP3 was Prof. Alessandro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Bertolino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who was then on leave. I was also responsible for data management and statistical analysis for W</w:t>
      </w:r>
      <w:r>
        <w:rPr>
          <w:rFonts w:ascii="Arial" w:eastAsia="Arial" w:hAnsi="Arial" w:cs="Arial"/>
          <w:color w:val="000000"/>
          <w:sz w:val="22"/>
          <w:szCs w:val="22"/>
        </w:rPr>
        <w:t>P3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2014-2016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Technical advisor and director of the contract for the acquisition of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magnetoencephalography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system at UNIBA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2016-2018</w:t>
      </w:r>
      <w:r>
        <w:rPr>
          <w:rFonts w:ascii="Arial" w:eastAsia="Arial" w:hAnsi="Arial" w:cs="Arial"/>
          <w:color w:val="000000"/>
          <w:sz w:val="22"/>
          <w:szCs w:val="22"/>
        </w:rPr>
        <w:tab/>
        <w:t>Coordinator, Professional Degree in Techniques of Psychiatric Rehabilitation. Department of Basic Medical Science, Neurosc</w:t>
      </w:r>
      <w:r>
        <w:rPr>
          <w:rFonts w:ascii="Arial" w:eastAsia="Arial" w:hAnsi="Arial" w:cs="Arial"/>
          <w:color w:val="000000"/>
          <w:sz w:val="22"/>
          <w:szCs w:val="22"/>
        </w:rPr>
        <w:t>ience and Sense Organs, UNIBA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2016-2018</w:t>
      </w:r>
      <w:r>
        <w:rPr>
          <w:rFonts w:ascii="Arial" w:eastAsia="Arial" w:hAnsi="Arial" w:cs="Arial"/>
          <w:color w:val="000000"/>
          <w:sz w:val="22"/>
          <w:szCs w:val="22"/>
        </w:rPr>
        <w:tab/>
        <w:t>Coordination Panel Member, Residency in Psychiatry. Department of Basic Medical Science, Neuroscience and Sense Organs, UNIBA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2016-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Lab Director, Brain Imaging, Networks, and Data mining. Psychiatric Neuroscience Group, UNIBA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2019</w:t>
      </w:r>
      <w:r>
        <w:rPr>
          <w:rFonts w:ascii="Arial" w:eastAsia="Arial" w:hAnsi="Arial" w:cs="Arial"/>
          <w:color w:val="000000"/>
          <w:sz w:val="22"/>
          <w:szCs w:val="22"/>
        </w:rPr>
        <w:tab/>
        <w:t>Conference “How the brain makes a difference” at UNIBA, organizer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2019-</w:t>
      </w:r>
      <w:r>
        <w:rPr>
          <w:rFonts w:ascii="Arial" w:eastAsia="Arial" w:hAnsi="Arial" w:cs="Arial"/>
          <w:color w:val="000000"/>
          <w:sz w:val="22"/>
          <w:szCs w:val="22"/>
        </w:rPr>
        <w:tab/>
        <w:t>PhD Committee Panel Member, Doctoral School in “Applied Neuroscience”, UNIBA</w:t>
      </w:r>
    </w:p>
    <w:p w:rsidR="0091456F" w:rsidRDefault="0091456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456F" w:rsidRDefault="0056291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Profess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ional Memberships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2008-2011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Marie Curie Fellows Association – National Coordinator for Germany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2010-2014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Society for Neuroscience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2017-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Società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Italiana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Psicologia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Fisiologica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Neuroscienze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Cognitive (Italian Society for Physiological Psychology and Cognitive Neuroscience)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2017-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Società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Italiana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Neuropsicologia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(Italian Society of Neuropsychology)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2018-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Marie Curie Alumni Associ</w:t>
      </w:r>
      <w:r>
        <w:rPr>
          <w:rFonts w:ascii="Arial" w:eastAsia="Arial" w:hAnsi="Arial" w:cs="Arial"/>
          <w:color w:val="000000"/>
          <w:sz w:val="22"/>
          <w:szCs w:val="22"/>
        </w:rPr>
        <w:t>ation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2019-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European Scientific Association on Schizophrenia and other Psychoses</w:t>
      </w:r>
    </w:p>
    <w:p w:rsidR="0091456F" w:rsidRDefault="0056291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Honors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2008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Marie Curie Early Stage Training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scholarship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2008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DAAD fellowship</w:t>
      </w:r>
      <w:r>
        <w:rPr>
          <w:rFonts w:ascii="Arial" w:eastAsia="Arial" w:hAnsi="Arial" w:cs="Arial"/>
          <w:color w:val="000000"/>
          <w:sz w:val="22"/>
          <w:szCs w:val="22"/>
        </w:rPr>
        <w:t>: “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Neurocognition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Foundations and Clinical Processes” granting additional training and research allowance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2008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RUB Research School fellowship </w:t>
      </w:r>
      <w:r>
        <w:rPr>
          <w:rFonts w:ascii="Arial" w:eastAsia="Arial" w:hAnsi="Arial" w:cs="Arial"/>
          <w:color w:val="000000"/>
          <w:sz w:val="22"/>
          <w:szCs w:val="22"/>
        </w:rPr>
        <w:t>granting soft skill training and supplementary research allowance for the PhD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2008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Travel grant, PENS-funded Summ</w:t>
      </w:r>
      <w:r>
        <w:rPr>
          <w:rFonts w:ascii="Arial" w:eastAsia="Arial" w:hAnsi="Arial" w:cs="Arial"/>
          <w:b/>
          <w:color w:val="000000"/>
          <w:sz w:val="22"/>
          <w:szCs w:val="22"/>
        </w:rPr>
        <w:t>er School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“The Neuroscience of Memory: Methods and Concepts to Investigate Our Internal Representation of the World” - Bangor, Wales, UK 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2011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International Brain Research Organization Alumni Poster Prize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2012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Travel Grant, Italian Prime Minister Cabi</w:t>
      </w:r>
      <w:r>
        <w:rPr>
          <w:rFonts w:ascii="Arial" w:eastAsia="Arial" w:hAnsi="Arial" w:cs="Arial"/>
          <w:b/>
          <w:color w:val="000000"/>
          <w:sz w:val="22"/>
          <w:szCs w:val="22"/>
        </w:rPr>
        <w:t>net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Workshop: “Campus Mentis”,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Pomezia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Italy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2012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Young SISSA Scientist award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2015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Boehringer-Ingelheim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FONDS</w:t>
      </w:r>
      <w:r>
        <w:rPr>
          <w:rFonts w:ascii="Arial" w:eastAsia="Arial" w:hAnsi="Arial" w:cs="Arial"/>
          <w:color w:val="000000"/>
          <w:sz w:val="22"/>
          <w:szCs w:val="22"/>
        </w:rPr>
        <w:t>, travel fellowship for a collaboration project at RUB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2017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ICOSR Young Investigator Award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for participation in the 2017 meeting in San Diego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(CA). 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2017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Seal of Excellence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awarded by Marie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Skłodowska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-Curie Actions for scoring 91.8 % in the Global Fellowship funding program.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2017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Young Scientist Award: best oral presentation </w:t>
      </w:r>
      <w:r>
        <w:rPr>
          <w:rFonts w:ascii="Arial" w:eastAsia="Arial" w:hAnsi="Arial" w:cs="Arial"/>
          <w:color w:val="000000"/>
          <w:sz w:val="22"/>
          <w:szCs w:val="22"/>
        </w:rPr>
        <w:t>in the XXV meeting of the Italian Society of Psychophysiology and Cogn</w:t>
      </w:r>
      <w:r>
        <w:rPr>
          <w:rFonts w:ascii="Arial" w:eastAsia="Arial" w:hAnsi="Arial" w:cs="Arial"/>
          <w:color w:val="000000"/>
          <w:sz w:val="22"/>
          <w:szCs w:val="22"/>
        </w:rPr>
        <w:t>itive Neuroscience.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2018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Publons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peer review award 2017.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Top 1% of peer reviewers in multidisciplinary fields.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2018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Marie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Skłodowska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-Curie Global Fellowship</w:t>
      </w:r>
      <w:r>
        <w:rPr>
          <w:rFonts w:ascii="Arial" w:eastAsia="Arial" w:hAnsi="Arial" w:cs="Arial"/>
          <w:color w:val="000000"/>
          <w:sz w:val="22"/>
          <w:szCs w:val="22"/>
        </w:rPr>
        <w:t>, grant for a 3-years project with tenure-track.</w:t>
      </w:r>
    </w:p>
    <w:p w:rsidR="0091456F" w:rsidRDefault="0091456F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456F" w:rsidRDefault="0056291B">
      <w:pPr>
        <w:pStyle w:val="normal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60" w:after="120"/>
        <w:ind w:left="425" w:hanging="357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Contributions to science</w:t>
      </w:r>
    </w:p>
    <w:p w:rsidR="0091456F" w:rsidRDefault="0091456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91456F" w:rsidRDefault="0056291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ind w:left="426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pioneered the investigation of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eQTL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polygenic scores indexing co-expression networks (co-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eQTLs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), so that I have been the first to study trans-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eQTLs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associated with gene co-expression. The findings are well-replicated in independent datasets and explain 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henotypic variance 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neuroimaging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and clinical measures, offering novel insight relative to GWAS studies.</w:t>
      </w:r>
    </w:p>
    <w:p w:rsidR="0091456F" w:rsidRDefault="0091456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456F" w:rsidRDefault="0056291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Pergola 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Di Carlo P,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D'Ambrosio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Scozia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G,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Pietrangelo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B, Fazio L,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Gelao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Attrotto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MT,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Apud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JA, Chen Q,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Mattay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VS,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Rampino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Caforio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G, Weinberger DR,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Blasi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G,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Bertolino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A. (2017).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DRD2 Co-expression Network and a related Polygenic Score predict Phenotypes l</w:t>
      </w:r>
      <w:r>
        <w:rPr>
          <w:rFonts w:ascii="Arial" w:eastAsia="Arial" w:hAnsi="Arial" w:cs="Arial"/>
          <w:i/>
          <w:color w:val="000000"/>
          <w:sz w:val="22"/>
          <w:szCs w:val="22"/>
        </w:rPr>
        <w:t>inked to Schizophrenia</w:t>
      </w:r>
      <w:r>
        <w:rPr>
          <w:rFonts w:ascii="Arial" w:eastAsia="Arial" w:hAnsi="Arial" w:cs="Arial"/>
          <w:color w:val="000000"/>
          <w:sz w:val="22"/>
          <w:szCs w:val="22"/>
        </w:rPr>
        <w:t>. Translational Psychiatry 7(1):e1006. (PMID: 28094815).</w:t>
      </w:r>
    </w:p>
    <w:p w:rsidR="0091456F" w:rsidRDefault="0056291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right="11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Fazio L*, </w:t>
      </w:r>
      <w:r>
        <w:rPr>
          <w:rFonts w:ascii="Arial" w:eastAsia="Arial" w:hAnsi="Arial" w:cs="Arial"/>
          <w:b/>
          <w:color w:val="000000"/>
          <w:sz w:val="22"/>
          <w:szCs w:val="22"/>
        </w:rPr>
        <w:t>Pergola G*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Papalino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M, Di Carlo P,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Monda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Gelao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B, Amoroso N,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Tangaro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Rampino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Popolizio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Bertolino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Blasi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G (2018).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The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transcriptomic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context of DRD1 is associated with prefrontal activity and behavior during working memory.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Proceedings of the National Academy of Sciences USA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115(21):5582-5587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color w:val="000000"/>
          <w:sz w:val="22"/>
          <w:szCs w:val="22"/>
        </w:rPr>
        <w:t>*equal contribution as first authors.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(PMID: 29735686)</w:t>
      </w:r>
    </w:p>
    <w:p w:rsidR="0091456F" w:rsidRDefault="0056291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Pergola G*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Di Carlo P*, Jaffe AE,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Papalino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M, Chen Q, Hyde TM,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Kleinman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JE, Shin JH,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Rampino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Blasi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G, Weinberger DR,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Bertolino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A. (2019).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Prefrontal co-expression of schizophrenia risk genes is associated with treatment response in patients.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Biological Psychiatr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y 86(1): 45–55 </w:t>
      </w:r>
      <w:r>
        <w:rPr>
          <w:rFonts w:ascii="Arial" w:eastAsia="Arial" w:hAnsi="Arial" w:cs="Arial"/>
          <w:b/>
          <w:color w:val="000000"/>
          <w:sz w:val="22"/>
          <w:szCs w:val="22"/>
        </w:rPr>
        <w:t>*equal contribution as first authors.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(PMID: 31126695)</w:t>
      </w:r>
    </w:p>
    <w:p w:rsidR="0091456F" w:rsidRDefault="0056291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Braun U,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Harneit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A, </w:t>
      </w:r>
      <w:r>
        <w:rPr>
          <w:rFonts w:ascii="Arial" w:eastAsia="Arial" w:hAnsi="Arial" w:cs="Arial"/>
          <w:b/>
          <w:color w:val="000000"/>
          <w:sz w:val="22"/>
          <w:szCs w:val="22"/>
        </w:rPr>
        <w:t>Pergola 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Menara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T, Schaefer A,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Betzel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RF,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Zang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Z,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Schweiger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JI, Schwarz K, Chen J,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Blasi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G,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Bertolino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Durstewitz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Pasqualetti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F, Schwarz E, Meyer-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Lindenberg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Bassett DS,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Tost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H.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(preprint).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Brain state stability during working memory is explained by network control theory, modulated by dopamine D1/D2 receptor function, and diminished in schizophrenia.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bioRxiv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679670;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10.1101/679670</w:t>
      </w:r>
    </w:p>
    <w:p w:rsidR="0091456F" w:rsidRDefault="0056291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Pergola 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*,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Rampino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A*,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 Carlo P,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Marakhovskaia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A, Quarto T, Fazio L,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Papalino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Torretta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S, Amoroso N, Castro MN, Domenici E,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Dukart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J,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Khlghatyan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J, Monaco A,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Popolizio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T, Romano R,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Sportelli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Zunuer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H,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Blasi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G, Beaulieu JM,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Bertolino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A. (preprint).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 miR-137-related biol</w:t>
      </w:r>
      <w:r>
        <w:rPr>
          <w:rFonts w:ascii="Arial" w:eastAsia="Arial" w:hAnsi="Arial" w:cs="Arial"/>
          <w:color w:val="000000"/>
          <w:sz w:val="22"/>
          <w:szCs w:val="22"/>
        </w:rPr>
        <w:t>ogical pathway of risk for Schizophrenia is associated with human brain emotion processing.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bioRxiv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2020.08.03.230227;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10.1101/2020.08.03.230227 </w:t>
      </w:r>
      <w:r>
        <w:rPr>
          <w:rFonts w:ascii="Arial" w:eastAsia="Arial" w:hAnsi="Arial" w:cs="Arial"/>
          <w:b/>
          <w:color w:val="000000"/>
          <w:sz w:val="22"/>
          <w:szCs w:val="22"/>
        </w:rPr>
        <w:t>*equal contribution as first authors.</w:t>
      </w:r>
    </w:p>
    <w:p w:rsidR="0091456F" w:rsidRDefault="0091456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91456F" w:rsidRDefault="0056291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ind w:left="426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My studies contributed to reveal the role of thalamic nuclei in cognition and schizophrenia. I developed a methodology to map ischemic lesions onto specific thalamic nuclei and also applied it in functional studies with healthy controls and with patients 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ith schizophrenia. </w:t>
      </w:r>
    </w:p>
    <w:p w:rsidR="0091456F" w:rsidRDefault="0091456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ind w:left="426"/>
        <w:rPr>
          <w:rFonts w:ascii="Arial" w:eastAsia="Arial" w:hAnsi="Arial" w:cs="Arial"/>
          <w:color w:val="000000"/>
          <w:sz w:val="22"/>
          <w:szCs w:val="22"/>
        </w:rPr>
      </w:pPr>
    </w:p>
    <w:p w:rsidR="0091456F" w:rsidRDefault="0056291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Pergola 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Ranft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A, Mathias K,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Suchan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 (2013).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The role of the thalamic nuclei in recognition memory accompanied by recall during encoding and retrieval: an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fMRI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study.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Neuroimage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74:195-208. (PMID: 23435209).</w:t>
      </w:r>
    </w:p>
    <w:p w:rsidR="0091456F" w:rsidRDefault="0056291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Pergola 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Selvaggi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Trizio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Bertolino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Blasi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G. (2015).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The Role of the Thalamus in Schizophrenia from a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Neuroimaging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Perspective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Neuroscience and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Biobehavioural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Reviews 54</w:t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>57-75. (PMID: 25616183).</w:t>
      </w:r>
    </w:p>
    <w:p w:rsidR="0091456F" w:rsidRDefault="0056291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Pergola 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Danet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Pitel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AL,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Carlesimo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GA,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Segobin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Pariente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J,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Suchan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B, Mitchell AS,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Barbeau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EJ. (2018).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The regulatory role of the human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mediodorsal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thalamus.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Trends in Cognitive Sciences 22(11): 1011–1025. (PMID: 30236489).</w:t>
      </w:r>
    </w:p>
    <w:p w:rsidR="0091456F" w:rsidRDefault="0056291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lastRenderedPageBreak/>
        <w:t>Antonucci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LA,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Di Carlo P,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Passiato</w:t>
      </w:r>
      <w:r>
        <w:rPr>
          <w:rFonts w:ascii="Arial" w:eastAsia="Arial" w:hAnsi="Arial" w:cs="Arial"/>
          <w:color w:val="000000"/>
          <w:sz w:val="22"/>
          <w:szCs w:val="22"/>
        </w:rPr>
        <w:t>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R,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Papalino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Monda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A, Amoroso N,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Tangaro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Taurisano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Rampino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Sambataro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Popolizio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Bertolino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A, </w:t>
      </w:r>
      <w:r>
        <w:rPr>
          <w:rFonts w:ascii="Arial" w:eastAsia="Arial" w:hAnsi="Arial" w:cs="Arial"/>
          <w:b/>
          <w:color w:val="000000"/>
          <w:sz w:val="22"/>
          <w:szCs w:val="22"/>
        </w:rPr>
        <w:t>Pergola G*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Blasi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G*. (2019).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Thalamic connectivity measured with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fMRI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is associated with a polygenic index predicting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thalamo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-prefrontal gene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co-expression.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Brain Structure and Function 224(3): 1331–1344. </w:t>
      </w:r>
      <w:r>
        <w:rPr>
          <w:rFonts w:ascii="Arial" w:eastAsia="Arial" w:hAnsi="Arial" w:cs="Arial"/>
          <w:b/>
          <w:color w:val="000000"/>
          <w:sz w:val="22"/>
          <w:szCs w:val="22"/>
        </w:rPr>
        <w:t>*equal contribution as senior authors.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(PMID: 30236489). </w:t>
      </w:r>
    </w:p>
    <w:p w:rsidR="0091456F" w:rsidRDefault="0091456F">
      <w:pPr>
        <w:pStyle w:val="normal"/>
        <w:pBdr>
          <w:top w:val="nil"/>
          <w:left w:val="nil"/>
          <w:bottom w:val="nil"/>
          <w:right w:val="nil"/>
          <w:between w:val="nil"/>
        </w:pBdr>
        <w:ind w:left="714"/>
        <w:rPr>
          <w:rFonts w:ascii="Arial" w:eastAsia="Arial" w:hAnsi="Arial" w:cs="Arial"/>
          <w:color w:val="000000"/>
          <w:sz w:val="22"/>
          <w:szCs w:val="22"/>
        </w:rPr>
      </w:pPr>
    </w:p>
    <w:p w:rsidR="0091456F" w:rsidRDefault="0056291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ind w:left="426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identified novel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neuroimaging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and environmental predictors of schizophrenia and mentored junior scientists in the functional charact</w:t>
      </w:r>
      <w:r>
        <w:rPr>
          <w:rFonts w:ascii="Arial" w:eastAsia="Arial" w:hAnsi="Arial" w:cs="Arial"/>
          <w:color w:val="000000"/>
          <w:sz w:val="22"/>
          <w:szCs w:val="22"/>
        </w:rPr>
        <w:t>erization of multivariate schizophrenia signatures.</w:t>
      </w:r>
    </w:p>
    <w:p w:rsidR="0091456F" w:rsidRDefault="0091456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456F" w:rsidRDefault="0056291B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Pergola 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Trizio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S, Di Carlo P,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Taurisano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P, Mancini M, Amoroso N,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Nettis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MA,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Andriola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Caforio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G,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Popolizio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Rampino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A, Di Giorgio A,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Bertolino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Blasi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G. (2017).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Grey matter volume patterns in thalamic nuclei are associated with familial risk for schizophrenia. </w:t>
      </w:r>
      <w:r>
        <w:rPr>
          <w:rFonts w:ascii="Arial" w:eastAsia="Arial" w:hAnsi="Arial" w:cs="Arial"/>
          <w:color w:val="000000"/>
          <w:sz w:val="22"/>
          <w:szCs w:val="22"/>
        </w:rPr>
        <w:t>Schizophrenia Research 180: 13-20. (PMID: 27449252).</w:t>
      </w:r>
    </w:p>
    <w:p w:rsidR="0091456F" w:rsidRDefault="0056291B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Pergola 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Papalino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Gelao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Sportelli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Vollerbergh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W,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Grattagliano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Bertolino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A. (2019).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Evocat</w:t>
      </w:r>
      <w:r>
        <w:rPr>
          <w:rFonts w:ascii="Arial" w:eastAsia="Arial" w:hAnsi="Arial" w:cs="Arial"/>
          <w:i/>
          <w:color w:val="000000"/>
          <w:sz w:val="22"/>
          <w:szCs w:val="22"/>
        </w:rPr>
        <w:t>ive gene-environment correlation between genetic risk for schizophrenia and bullying victimization.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World Psychiatry 18(3): 366-7. (PMID: 31496088).</w:t>
      </w:r>
    </w:p>
    <w:p w:rsidR="0091456F" w:rsidRDefault="0056291B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Antonucci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LA, </w:t>
      </w:r>
      <w:r>
        <w:rPr>
          <w:rFonts w:ascii="Arial" w:eastAsia="Arial" w:hAnsi="Arial" w:cs="Arial"/>
          <w:b/>
          <w:color w:val="000000"/>
          <w:sz w:val="22"/>
          <w:szCs w:val="22"/>
        </w:rPr>
        <w:t>Pergola 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Pigoni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A, Dwyer D,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Kambeitz-Ilankovic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Penzel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N, Romano R,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Gelao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Torretta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Rampino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Trojano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Caforio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G,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Falkai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Blasi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G,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Koutsouleris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Bertolino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A. (2020)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A Pattern of Cognitive Deficits Stratified for Genetic and Environmental Risk Reliably Classifies Patients With Schizophrenia From Healthy Control Subjects. </w:t>
      </w:r>
      <w:r>
        <w:rPr>
          <w:rFonts w:ascii="Arial" w:eastAsia="Arial" w:hAnsi="Arial" w:cs="Arial"/>
          <w:color w:val="000000"/>
          <w:sz w:val="22"/>
          <w:szCs w:val="22"/>
        </w:rPr>
        <w:t>Biological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Psychiatry 87(8): 697–707. (PMID: 31948640).</w:t>
      </w:r>
    </w:p>
    <w:p w:rsidR="0091456F" w:rsidRDefault="0056291B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Carlo P, </w:t>
      </w:r>
      <w:r>
        <w:rPr>
          <w:rFonts w:ascii="Arial" w:eastAsia="Arial" w:hAnsi="Arial" w:cs="Arial"/>
          <w:b/>
          <w:color w:val="000000"/>
          <w:sz w:val="22"/>
          <w:szCs w:val="22"/>
        </w:rPr>
        <w:t>Pergola 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Antonucci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LA,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Bonvino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A, Mancini M, Quarto T,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Rampino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Popolizio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Bertolino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Blasi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G. (2020).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Multivariate patterns of gray matter volume in thalamic nuclei are associated with posi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tive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schizotypy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in healthy individuals.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Psychological Medicine 50(9): 1501–9. (PMID: 31358071).</w:t>
      </w:r>
    </w:p>
    <w:p w:rsidR="0091456F" w:rsidRDefault="0091456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91456F" w:rsidRDefault="0056291B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Complete List of Published Work 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MyBibliography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  </w:t>
      </w:r>
      <w:hyperlink r:id="rId12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http://www.ncbi.nlm.nih.gov/sites/myncbi/1h_BanbtKt5AH/bibliography/40451553/public/?sort=date&amp;direction=descending</w:t>
        </w:r>
      </w:hyperlink>
    </w:p>
    <w:p w:rsidR="0091456F" w:rsidRDefault="0091456F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:rsidR="0091456F" w:rsidRDefault="0056291B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Research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Support</w:t>
      </w:r>
    </w:p>
    <w:p w:rsidR="0091456F" w:rsidRDefault="0056291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Ongoing Research Support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Research Programs of National Interest (Italy)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Drago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(PI)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August 29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2019 – February 28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2023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“Dopamine -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Dysbindin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Genetic Interaction: a Multidisciplinary Approach To Characterize Cognitive Phenotypes of Schizophren</w:t>
      </w:r>
      <w:r>
        <w:rPr>
          <w:rFonts w:ascii="Arial" w:eastAsia="Arial" w:hAnsi="Arial" w:cs="Arial"/>
          <w:color w:val="000000"/>
          <w:sz w:val="22"/>
          <w:szCs w:val="22"/>
        </w:rPr>
        <w:t>ia and Develop Personalized Treatments”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Dysbindin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and dopamine D2R and D3R participate in the regulation of dopamine signaling that is key to the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pathophysiology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/treatment of schizophrenia. This project investigates interactions among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dysbindin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, D2R and D3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R combining preclinical with imaging genetics studies in healthy controls and in patients with schizophrenia. 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Role: Co-PI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Amount: EUR 80,000 </w:t>
      </w:r>
    </w:p>
    <w:p w:rsidR="0091456F" w:rsidRDefault="0091456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NIH R21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Weinberger (PI)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July 1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2019 – June 30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2021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“Temporal coherence of Schizophrenia risk genes in a critical brain circuit: It's about time”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The goal of this study is to identify challenges and pitfalls of single cell population enriched RNA sequencing involved in the regulation of developmental trajec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tories of gene co-expression. We will study a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hippocampo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-prefrontal circuit to develop an algorithm library and laboratory protocols for data acquisition.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Role: Co-PI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Amount: USD 275,000 (+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indirects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:rsidR="0091456F" w:rsidRDefault="0091456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Marie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Skłodowska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-Curie Actions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Pergola (P</w:t>
      </w:r>
      <w:r>
        <w:rPr>
          <w:rFonts w:ascii="Arial" w:eastAsia="Arial" w:hAnsi="Arial" w:cs="Arial"/>
          <w:color w:val="000000"/>
          <w:sz w:val="22"/>
          <w:szCs w:val="22"/>
        </w:rPr>
        <w:t>I)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November 8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2018 – November 7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2021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“Identification of brain developmental gene co-expression networks to understand risk for Schizophrenia”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lastRenderedPageBreak/>
        <w:t xml:space="preserve">The goal of this study is to identify developmental trajectories of schizophrenia risk gene co-expression. I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will associate these genetic pathways with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neuroimaging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phenotypes relevant to schizophrenia. 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Role: Fellow Recipient and PI of the project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Amount: EUR 262,000 (+ EUR 600,000 Ministry endowment)</w:t>
      </w:r>
    </w:p>
    <w:p w:rsidR="0091456F" w:rsidRDefault="0091456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91456F" w:rsidRDefault="0056291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Completed Research Support</w:t>
      </w:r>
    </w:p>
    <w:p w:rsidR="0091456F" w:rsidRDefault="0091456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Horizon 2020 – EU Funding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Bertolino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(PI)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October 1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2013 – September 30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2017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“IMAGEMEND”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This consortium aimed to identify the patient characteristics most relevant for treatment, derive biomarkers and decision rules from this systems-level dimensional account, and systematic</w:t>
      </w:r>
      <w:r>
        <w:rPr>
          <w:rFonts w:ascii="Arial" w:eastAsia="Arial" w:hAnsi="Arial" w:cs="Arial"/>
          <w:i/>
          <w:color w:val="000000"/>
          <w:sz w:val="22"/>
          <w:szCs w:val="22"/>
        </w:rPr>
        <w:t>ally validate biomarker panels in patient, high-risk and epidemiological samples to produce automated imaging-based diagnostic and predictive tests tailored for wide distribution throughout Europe in standard clinical settings.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Role: Co-Investigator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Amount: EUR 420,000</w:t>
      </w:r>
    </w:p>
    <w:p w:rsidR="0091456F" w:rsidRDefault="0091456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Fondazione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Con Il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Bertolino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(PI)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May 2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2013 – March 31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2017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“Development of a model for the staging of schizophrenia and for assessment of its impact on the outcomes of pharmacological and rehabilitative treatments”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The goal of this study was to compare the effects of pharmacological and rehabilitative treatments in patients with schizophrenia. 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Role: Co-Investigator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Amount: EUR 700,000</w:t>
      </w:r>
    </w:p>
    <w:p w:rsidR="0091456F" w:rsidRDefault="0091456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Hoffmann-La Roche Ltd.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Pergola (PI)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Jan 2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2015 – Dec 31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201</w:t>
      </w:r>
      <w:r>
        <w:rPr>
          <w:rFonts w:ascii="Arial" w:eastAsia="Arial" w:hAnsi="Arial" w:cs="Arial"/>
          <w:color w:val="000000"/>
          <w:sz w:val="22"/>
          <w:szCs w:val="22"/>
        </w:rPr>
        <w:t>6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“Gene co-expression networks as roadmap for genotype to phenotype mapping in schizophrenia”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This project aimed at using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coexpression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network analysis to reveal novel pharmacological targets for drug development and to study pharmacological treatment resp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onse in psychiatric patients stratified based on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eQTL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polygenic scores.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Role: PI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Amount: CHF 200,000</w:t>
      </w:r>
    </w:p>
    <w:p w:rsidR="0091456F" w:rsidRDefault="0091456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University of Bari Aldo Moro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Pergola (PI)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Mar 6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2014 – Jan 5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2016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“GRIN2B genetic variants are associated with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cerebrovascular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flo</w:t>
      </w:r>
      <w:r>
        <w:rPr>
          <w:rFonts w:ascii="Arial" w:eastAsia="Arial" w:hAnsi="Arial" w:cs="Arial"/>
          <w:color w:val="000000"/>
          <w:sz w:val="22"/>
          <w:szCs w:val="22"/>
        </w:rPr>
        <w:t>w during working memory performance”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This study, now published, was awarded a research allowance by the University of Bari to develop and validate genetic scores combining the effect of multiple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eQTLs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on GRIN2B expression. The GRIN2B genetic score has then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been associated with the signal change in the prefrontal cortex during working memory performance. </w:t>
      </w:r>
    </w:p>
    <w:p w:rsidR="0091456F" w:rsidRDefault="005629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Role: PI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Amount: EUR 3,300</w:t>
      </w:r>
    </w:p>
    <w:p w:rsidR="0091456F" w:rsidRDefault="0091456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91456F" w:rsidSect="0091456F">
      <w:footerReference w:type="default" r:id="rId13"/>
      <w:type w:val="continuous"/>
      <w:pgSz w:w="12240" w:h="15840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1B" w:rsidRDefault="0056291B" w:rsidP="009214D3">
      <w:pPr>
        <w:spacing w:line="240" w:lineRule="auto"/>
        <w:ind w:left="0" w:hanging="2"/>
      </w:pPr>
      <w:r>
        <w:separator/>
      </w:r>
    </w:p>
  </w:endnote>
  <w:endnote w:type="continuationSeparator" w:id="0">
    <w:p w:rsidR="0056291B" w:rsidRDefault="0056291B" w:rsidP="009214D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6F" w:rsidRDefault="0056291B">
    <w:pPr>
      <w:pStyle w:val="normal"/>
      <w:pBdr>
        <w:top w:val="single" w:sz="6" w:space="1" w:color="000000"/>
        <w:left w:val="nil"/>
        <w:bottom w:val="nil"/>
        <w:right w:val="nil"/>
        <w:between w:val="nil"/>
      </w:pBdr>
      <w:tabs>
        <w:tab w:val="center" w:pos="5400"/>
        <w:tab w:val="right" w:pos="10800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PHS 398/2590 (Rev. 06/09)</w:t>
    </w:r>
    <w:r>
      <w:rPr>
        <w:rFonts w:ascii="Arial" w:eastAsia="Arial" w:hAnsi="Arial" w:cs="Arial"/>
        <w:color w:val="000000"/>
        <w:sz w:val="16"/>
        <w:szCs w:val="16"/>
      </w:rPr>
      <w:tab/>
      <w:t xml:space="preserve">Page </w:t>
    </w:r>
    <w:r>
      <w:rPr>
        <w:rFonts w:ascii="Arial" w:eastAsia="Arial" w:hAnsi="Arial" w:cs="Arial"/>
        <w:color w:val="000000"/>
        <w:u w:val="single"/>
      </w:rPr>
      <w:t>1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b/>
        <w:color w:val="000000"/>
        <w:sz w:val="16"/>
        <w:szCs w:val="16"/>
      </w:rPr>
      <w:t>Biographical Sketch Format Page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6F" w:rsidRDefault="0056291B">
    <w:pPr>
      <w:pStyle w:val="normal"/>
      <w:pBdr>
        <w:top w:val="single" w:sz="6" w:space="1" w:color="000000"/>
        <w:left w:val="nil"/>
        <w:bottom w:val="nil"/>
        <w:right w:val="nil"/>
        <w:between w:val="nil"/>
      </w:pBdr>
      <w:tabs>
        <w:tab w:val="center" w:pos="5400"/>
        <w:tab w:val="right" w:pos="10800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PHS 398/2590 (Rev. 06/09)</w:t>
    </w:r>
    <w:r>
      <w:rPr>
        <w:rFonts w:ascii="Arial" w:eastAsia="Arial" w:hAnsi="Arial" w:cs="Arial"/>
        <w:color w:val="000000"/>
        <w:sz w:val="16"/>
        <w:szCs w:val="16"/>
      </w:rPr>
      <w:tab/>
      <w:t xml:space="preserve">Page </w:t>
    </w:r>
    <w:r>
      <w:rPr>
        <w:rFonts w:ascii="Arial" w:eastAsia="Arial" w:hAnsi="Arial" w:cs="Arial"/>
        <w:color w:val="000000"/>
        <w:u w:val="single"/>
      </w:rPr>
      <w:t xml:space="preserve">    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b/>
        <w:color w:val="000000"/>
        <w:sz w:val="16"/>
        <w:szCs w:val="16"/>
      </w:rPr>
      <w:t>Biographical Sketch Format Page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6F" w:rsidRDefault="0056291B">
    <w:pPr>
      <w:pStyle w:val="normal"/>
      <w:pBdr>
        <w:top w:val="single" w:sz="6" w:space="1" w:color="000000"/>
        <w:left w:val="nil"/>
        <w:bottom w:val="nil"/>
        <w:right w:val="nil"/>
        <w:between w:val="nil"/>
      </w:pBdr>
      <w:tabs>
        <w:tab w:val="center" w:pos="5400"/>
        <w:tab w:val="right" w:pos="10800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PHS 398/2590 (Rev. 06/09)</w:t>
    </w:r>
    <w:r>
      <w:rPr>
        <w:rFonts w:ascii="Arial" w:eastAsia="Arial" w:hAnsi="Arial" w:cs="Arial"/>
        <w:color w:val="000000"/>
        <w:sz w:val="16"/>
        <w:szCs w:val="16"/>
      </w:rPr>
      <w:tab/>
      <w:t xml:space="preserve">Page </w:t>
    </w:r>
    <w:r>
      <w:rPr>
        <w:rFonts w:ascii="Arial" w:eastAsia="Arial" w:hAnsi="Arial" w:cs="Arial"/>
        <w:color w:val="000000"/>
        <w:u w:val="single"/>
      </w:rPr>
      <w:t xml:space="preserve">  </w:t>
    </w:r>
    <w:r w:rsidR="0091456F">
      <w:rPr>
        <w:rFonts w:ascii="Arial" w:eastAsia="Arial" w:hAnsi="Arial" w:cs="Arial"/>
        <w:color w:val="000000"/>
        <w:u w:val="single"/>
      </w:rPr>
      <w:fldChar w:fldCharType="begin"/>
    </w:r>
    <w:r>
      <w:rPr>
        <w:rFonts w:ascii="Arial" w:eastAsia="Arial" w:hAnsi="Arial" w:cs="Arial"/>
        <w:color w:val="000000"/>
        <w:u w:val="single"/>
      </w:rPr>
      <w:instrText>PAGE</w:instrText>
    </w:r>
    <w:r w:rsidR="009214D3">
      <w:rPr>
        <w:rFonts w:ascii="Arial" w:eastAsia="Arial" w:hAnsi="Arial" w:cs="Arial"/>
        <w:color w:val="000000"/>
        <w:u w:val="single"/>
      </w:rPr>
      <w:fldChar w:fldCharType="separate"/>
    </w:r>
    <w:r w:rsidR="009214D3">
      <w:rPr>
        <w:rFonts w:ascii="Arial" w:eastAsia="Arial" w:hAnsi="Arial" w:cs="Arial"/>
        <w:noProof/>
        <w:color w:val="000000"/>
        <w:u w:val="single"/>
      </w:rPr>
      <w:t>5</w:t>
    </w:r>
    <w:r w:rsidR="0091456F">
      <w:rPr>
        <w:rFonts w:ascii="Arial" w:eastAsia="Arial" w:hAnsi="Arial" w:cs="Arial"/>
        <w:color w:val="000000"/>
        <w:u w:val="single"/>
      </w:rPr>
      <w:fldChar w:fldCharType="end"/>
    </w:r>
    <w:r>
      <w:rPr>
        <w:rFonts w:ascii="Arial" w:eastAsia="Arial" w:hAnsi="Arial" w:cs="Arial"/>
        <w:color w:val="000000"/>
        <w:u w:val="single"/>
      </w:rPr>
      <w:t xml:space="preserve">  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b/>
        <w:color w:val="000000"/>
        <w:sz w:val="16"/>
        <w:szCs w:val="16"/>
      </w:rPr>
      <w:t>Biographical Sketch Format 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1B" w:rsidRDefault="0056291B" w:rsidP="009214D3">
      <w:pPr>
        <w:spacing w:line="240" w:lineRule="auto"/>
        <w:ind w:left="0" w:hanging="2"/>
      </w:pPr>
      <w:r>
        <w:separator/>
      </w:r>
    </w:p>
  </w:footnote>
  <w:footnote w:type="continuationSeparator" w:id="0">
    <w:p w:rsidR="0056291B" w:rsidRDefault="0056291B" w:rsidP="009214D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6F" w:rsidRDefault="0056291B">
    <w:pPr>
      <w:pStyle w:val="normal"/>
      <w:pBdr>
        <w:top w:val="nil"/>
        <w:left w:val="nil"/>
        <w:bottom w:val="nil"/>
        <w:right w:val="nil"/>
        <w:between w:val="nil"/>
      </w:pBdr>
      <w:spacing w:after="40"/>
      <w:ind w:left="864"/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Pergola </w:t>
    </w:r>
    <w:proofErr w:type="spellStart"/>
    <w:r>
      <w:rPr>
        <w:rFonts w:ascii="Arial" w:eastAsia="Arial" w:hAnsi="Arial" w:cs="Arial"/>
        <w:color w:val="000000"/>
        <w:sz w:val="22"/>
        <w:szCs w:val="22"/>
      </w:rPr>
      <w:t>Giulio</w:t>
    </w:r>
    <w:proofErr w:type="spellEnd"/>
    <w:r>
      <w:rPr>
        <w:rFonts w:ascii="Arial" w:eastAsia="Arial" w:hAnsi="Arial" w:cs="Arial"/>
        <w:color w:val="000000"/>
        <w:sz w:val="22"/>
        <w:szCs w:val="22"/>
      </w:rPr>
      <w:t>, Ph. D.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6F" w:rsidRDefault="0091456F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0"/>
      <w:tblW w:w="10656" w:type="dxa"/>
      <w:jc w:val="center"/>
      <w:tblInd w:w="0" w:type="dxa"/>
      <w:tblLayout w:type="fixed"/>
      <w:tblLook w:val="0000"/>
    </w:tblPr>
    <w:tblGrid>
      <w:gridCol w:w="5328"/>
      <w:gridCol w:w="5328"/>
    </w:tblGrid>
    <w:tr w:rsidR="0091456F">
      <w:trPr>
        <w:trHeight w:val="360"/>
        <w:jc w:val="center"/>
      </w:trPr>
      <w:tc>
        <w:tcPr>
          <w:tcW w:w="5328" w:type="dxa"/>
          <w:tcBorders>
            <w:left w:val="nil"/>
            <w:right w:val="nil"/>
          </w:tcBorders>
        </w:tcPr>
        <w:p w:rsidR="0091456F" w:rsidRDefault="0056291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spacing w:after="40"/>
            <w:ind w:left="864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:rsidR="0091456F" w:rsidRDefault="0091456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</w:tr>
  </w:tbl>
  <w:p w:rsidR="0091456F" w:rsidRDefault="0091456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80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DFB"/>
    <w:multiLevelType w:val="multilevel"/>
    <w:tmpl w:val="B524B952"/>
    <w:lvl w:ilvl="0">
      <w:start w:val="1"/>
      <w:numFmt w:val="decimal"/>
      <w:pStyle w:val="Numeroelenc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DDE76FF"/>
    <w:multiLevelType w:val="multilevel"/>
    <w:tmpl w:val="F1304FD0"/>
    <w:lvl w:ilvl="0">
      <w:start w:val="1"/>
      <w:numFmt w:val="lowerLetter"/>
      <w:pStyle w:val="Numeroelenco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0E86587"/>
    <w:multiLevelType w:val="multilevel"/>
    <w:tmpl w:val="4EA09DD8"/>
    <w:lvl w:ilvl="0">
      <w:start w:val="2"/>
      <w:numFmt w:val="decimal"/>
      <w:pStyle w:val="Puntoelenco3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8B001F3"/>
    <w:multiLevelType w:val="multilevel"/>
    <w:tmpl w:val="CD5E1BA4"/>
    <w:lvl w:ilvl="0">
      <w:start w:val="4"/>
      <w:numFmt w:val="upperLetter"/>
      <w:pStyle w:val="Numeroelenco2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5BE530AA"/>
    <w:multiLevelType w:val="multilevel"/>
    <w:tmpl w:val="36CED06C"/>
    <w:lvl w:ilvl="0">
      <w:start w:val="1"/>
      <w:numFmt w:val="lowerLetter"/>
      <w:pStyle w:val="Puntoelenco5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626162A1"/>
    <w:multiLevelType w:val="multilevel"/>
    <w:tmpl w:val="18EC9548"/>
    <w:lvl w:ilvl="0">
      <w:start w:val="1"/>
      <w:numFmt w:val="lowerLetter"/>
      <w:pStyle w:val="Puntoelenco2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6EE9315D"/>
    <w:multiLevelType w:val="multilevel"/>
    <w:tmpl w:val="17A2FA7A"/>
    <w:lvl w:ilvl="0">
      <w:start w:val="1"/>
      <w:numFmt w:val="decimal"/>
      <w:pStyle w:val="Puntoelenco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70303285"/>
    <w:multiLevelType w:val="multilevel"/>
    <w:tmpl w:val="A7C6FAF0"/>
    <w:lvl w:ilvl="0">
      <w:start w:val="2"/>
      <w:numFmt w:val="upperLetter"/>
      <w:pStyle w:val="Numeroelenco3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731D6C3D"/>
    <w:multiLevelType w:val="multilevel"/>
    <w:tmpl w:val="561E4628"/>
    <w:lvl w:ilvl="0">
      <w:start w:val="3"/>
      <w:numFmt w:val="decimal"/>
      <w:pStyle w:val="Puntoelenco4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56F"/>
    <w:rsid w:val="0056291B"/>
    <w:rsid w:val="0091456F"/>
    <w:rsid w:val="0092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1456F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2"/>
      <w:szCs w:val="24"/>
      <w:lang w:eastAsia="en-US"/>
    </w:rPr>
  </w:style>
  <w:style w:type="paragraph" w:styleId="Titolo1">
    <w:name w:val="heading 1"/>
    <w:basedOn w:val="Normale"/>
    <w:next w:val="Normale"/>
    <w:rsid w:val="0091456F"/>
    <w:pPr>
      <w:jc w:val="center"/>
    </w:pPr>
    <w:rPr>
      <w:rFonts w:cs="Arial"/>
      <w:b/>
      <w:bCs/>
      <w:szCs w:val="22"/>
    </w:rPr>
  </w:style>
  <w:style w:type="paragraph" w:styleId="Titolo2">
    <w:name w:val="heading 2"/>
    <w:basedOn w:val="Normale"/>
    <w:next w:val="Normale"/>
    <w:rsid w:val="0091456F"/>
    <w:pPr>
      <w:keepNext/>
      <w:jc w:val="center"/>
      <w:outlineLvl w:val="1"/>
    </w:pPr>
    <w:rPr>
      <w:rFonts w:cs="Arial"/>
      <w:b/>
      <w:bCs/>
      <w:sz w:val="28"/>
      <w:szCs w:val="28"/>
    </w:rPr>
  </w:style>
  <w:style w:type="paragraph" w:styleId="Titolo3">
    <w:name w:val="heading 3"/>
    <w:basedOn w:val="normal"/>
    <w:next w:val="normal"/>
    <w:rsid w:val="009145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145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145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91456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1456F"/>
  </w:style>
  <w:style w:type="table" w:customStyle="1" w:styleId="TableNormal">
    <w:name w:val="Table Normal"/>
    <w:rsid w:val="009145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1456F"/>
    <w:pPr>
      <w:keepNext/>
      <w:keepLines/>
      <w:spacing w:before="480" w:after="120"/>
    </w:pPr>
    <w:rPr>
      <w:b/>
      <w:sz w:val="72"/>
      <w:szCs w:val="72"/>
    </w:rPr>
  </w:style>
  <w:style w:type="paragraph" w:styleId="Puntoelenco">
    <w:name w:val="List Bullet"/>
    <w:basedOn w:val="Normale"/>
    <w:rsid w:val="0091456F"/>
    <w:pPr>
      <w:numPr>
        <w:numId w:val="1"/>
      </w:numPr>
      <w:ind w:left="-1" w:hanging="1"/>
    </w:pPr>
    <w:rPr>
      <w:rFonts w:ascii="Times" w:hAnsi="Times" w:cs="Times"/>
    </w:rPr>
  </w:style>
  <w:style w:type="paragraph" w:styleId="Puntoelenco2">
    <w:name w:val="List Bullet 2"/>
    <w:basedOn w:val="Normale"/>
    <w:rsid w:val="0091456F"/>
    <w:pPr>
      <w:numPr>
        <w:numId w:val="2"/>
      </w:numPr>
      <w:ind w:left="-1" w:hanging="1"/>
    </w:pPr>
    <w:rPr>
      <w:rFonts w:ascii="Times" w:hAnsi="Times" w:cs="Times"/>
    </w:rPr>
  </w:style>
  <w:style w:type="paragraph" w:styleId="Puntoelenco3">
    <w:name w:val="List Bullet 3"/>
    <w:basedOn w:val="Normale"/>
    <w:rsid w:val="0091456F"/>
    <w:pPr>
      <w:numPr>
        <w:numId w:val="3"/>
      </w:numPr>
      <w:ind w:left="-1" w:hanging="1"/>
    </w:pPr>
    <w:rPr>
      <w:rFonts w:ascii="Times" w:hAnsi="Times" w:cs="Times"/>
    </w:rPr>
  </w:style>
  <w:style w:type="paragraph" w:styleId="Puntoelenco4">
    <w:name w:val="List Bullet 4"/>
    <w:basedOn w:val="Normale"/>
    <w:rsid w:val="0091456F"/>
    <w:pPr>
      <w:numPr>
        <w:numId w:val="4"/>
      </w:numPr>
      <w:ind w:left="-1" w:hanging="1"/>
    </w:pPr>
    <w:rPr>
      <w:rFonts w:ascii="Times" w:hAnsi="Times" w:cs="Times"/>
    </w:rPr>
  </w:style>
  <w:style w:type="paragraph" w:styleId="Puntoelenco5">
    <w:name w:val="List Bullet 5"/>
    <w:basedOn w:val="Normale"/>
    <w:rsid w:val="0091456F"/>
    <w:pPr>
      <w:numPr>
        <w:numId w:val="5"/>
      </w:numPr>
      <w:ind w:left="-1" w:hanging="1"/>
    </w:pPr>
    <w:rPr>
      <w:rFonts w:ascii="Times" w:hAnsi="Times" w:cs="Times"/>
    </w:rPr>
  </w:style>
  <w:style w:type="paragraph" w:styleId="Numeroelenco">
    <w:name w:val="List Number"/>
    <w:basedOn w:val="Normale"/>
    <w:rsid w:val="0091456F"/>
    <w:pPr>
      <w:numPr>
        <w:numId w:val="6"/>
      </w:numPr>
      <w:ind w:left="-1" w:hanging="1"/>
    </w:pPr>
    <w:rPr>
      <w:rFonts w:ascii="Times" w:hAnsi="Times" w:cs="Times"/>
    </w:rPr>
  </w:style>
  <w:style w:type="paragraph" w:styleId="Numeroelenco2">
    <w:name w:val="List Number 2"/>
    <w:basedOn w:val="Normale"/>
    <w:rsid w:val="0091456F"/>
    <w:pPr>
      <w:numPr>
        <w:numId w:val="7"/>
      </w:numPr>
      <w:ind w:left="-1" w:hanging="1"/>
    </w:pPr>
    <w:rPr>
      <w:rFonts w:ascii="Times" w:hAnsi="Times" w:cs="Times"/>
    </w:rPr>
  </w:style>
  <w:style w:type="paragraph" w:styleId="Numeroelenco3">
    <w:name w:val="List Number 3"/>
    <w:basedOn w:val="Normale"/>
    <w:rsid w:val="0091456F"/>
    <w:pPr>
      <w:numPr>
        <w:numId w:val="8"/>
      </w:numPr>
      <w:ind w:left="-1" w:hanging="1"/>
    </w:pPr>
    <w:rPr>
      <w:rFonts w:ascii="Times" w:hAnsi="Times" w:cs="Times"/>
    </w:rPr>
  </w:style>
  <w:style w:type="paragraph" w:styleId="Numeroelenco4">
    <w:name w:val="List Number 4"/>
    <w:basedOn w:val="Normale"/>
    <w:rsid w:val="0091456F"/>
    <w:pPr>
      <w:numPr>
        <w:numId w:val="9"/>
      </w:numPr>
      <w:ind w:left="-1" w:hanging="1"/>
    </w:pPr>
    <w:rPr>
      <w:rFonts w:ascii="Times" w:hAnsi="Times" w:cs="Times"/>
    </w:rPr>
  </w:style>
  <w:style w:type="paragraph" w:styleId="Numeroelenco5">
    <w:name w:val="List Number 5"/>
    <w:basedOn w:val="Normale"/>
    <w:rsid w:val="0091456F"/>
    <w:pPr>
      <w:tabs>
        <w:tab w:val="num" w:pos="720"/>
      </w:tabs>
    </w:pPr>
    <w:rPr>
      <w:rFonts w:ascii="Times" w:hAnsi="Times" w:cs="Times"/>
    </w:rPr>
  </w:style>
  <w:style w:type="paragraph" w:customStyle="1" w:styleId="QuickA">
    <w:name w:val="Quick A."/>
    <w:basedOn w:val="Normale"/>
    <w:rsid w:val="0091456F"/>
    <w:pPr>
      <w:widowControl w:val="0"/>
      <w:tabs>
        <w:tab w:val="num" w:pos="720"/>
      </w:tabs>
      <w:ind w:left="720" w:hanging="720"/>
    </w:pPr>
  </w:style>
  <w:style w:type="paragraph" w:customStyle="1" w:styleId="ReminderList1">
    <w:name w:val="Reminder List 1"/>
    <w:basedOn w:val="Normale"/>
    <w:rsid w:val="0091456F"/>
    <w:pPr>
      <w:tabs>
        <w:tab w:val="left" w:pos="360"/>
        <w:tab w:val="num" w:pos="72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e"/>
    <w:rsid w:val="0091456F"/>
    <w:pPr>
      <w:tabs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e"/>
    <w:rsid w:val="0091456F"/>
    <w:pPr>
      <w:tabs>
        <w:tab w:val="num" w:pos="720"/>
        <w:tab w:val="left" w:pos="1080"/>
      </w:tabs>
      <w:spacing w:after="60"/>
      <w:ind w:left="1080" w:hanging="360"/>
    </w:pPr>
    <w:rPr>
      <w:rFonts w:ascii="Helvetica" w:hAnsi="Helvetica" w:cs="Helvetica"/>
      <w:szCs w:val="22"/>
    </w:rPr>
  </w:style>
  <w:style w:type="paragraph" w:styleId="Rientrocorpodeltesto">
    <w:name w:val="Body Text Indent"/>
    <w:basedOn w:val="Normale"/>
    <w:rsid w:val="0091456F"/>
    <w:pPr>
      <w:ind w:left="720"/>
      <w:jc w:val="both"/>
    </w:pPr>
    <w:rPr>
      <w:color w:val="FF0000"/>
      <w:sz w:val="20"/>
      <w:szCs w:val="20"/>
    </w:rPr>
  </w:style>
  <w:style w:type="character" w:customStyle="1" w:styleId="RientrocorpodeltestoCarattere">
    <w:name w:val="Rientro corpo del testo Carattere"/>
    <w:rsid w:val="0091456F"/>
    <w:rPr>
      <w:rFonts w:ascii="Arial" w:hAnsi="Arial" w:cs="Arial"/>
      <w:color w:val="FF0000"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rsid w:val="0091456F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Intestazione">
    <w:name w:val="header"/>
    <w:basedOn w:val="Normale"/>
    <w:rsid w:val="0091456F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e"/>
    <w:rsid w:val="0091456F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e"/>
    <w:rsid w:val="0091456F"/>
    <w:rPr>
      <w:rFonts w:cs="Arial"/>
      <w:szCs w:val="20"/>
    </w:rPr>
  </w:style>
  <w:style w:type="character" w:customStyle="1" w:styleId="DataField11pt-SingleChar">
    <w:name w:val="Data Field 11pt-Single Char"/>
    <w:rsid w:val="0091456F"/>
    <w:rPr>
      <w:rFonts w:ascii="Arial" w:hAnsi="Arial" w:cs="Arial"/>
      <w:w w:val="100"/>
      <w:position w:val="-1"/>
      <w:sz w:val="22"/>
      <w:effect w:val="none"/>
      <w:vertAlign w:val="baseline"/>
      <w:cs w:val="0"/>
      <w:em w:val="none"/>
      <w:lang w:val="en-US" w:eastAsia="en-US" w:bidi="ar-SA"/>
    </w:rPr>
  </w:style>
  <w:style w:type="paragraph" w:styleId="Pidipagina">
    <w:name w:val="footer"/>
    <w:basedOn w:val="Normale"/>
    <w:rsid w:val="0091456F"/>
    <w:pPr>
      <w:tabs>
        <w:tab w:val="center" w:pos="4320"/>
        <w:tab w:val="right" w:pos="8640"/>
      </w:tabs>
    </w:pPr>
  </w:style>
  <w:style w:type="character" w:styleId="Numeropagina">
    <w:name w:val="page number"/>
    <w:rsid w:val="0091456F"/>
    <w:rPr>
      <w:rFonts w:ascii="Arial" w:hAnsi="Arial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customStyle="1" w:styleId="FormFooter">
    <w:name w:val="Form Footer"/>
    <w:basedOn w:val="Normale"/>
    <w:rsid w:val="0091456F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Pidipagina"/>
    <w:rsid w:val="0091456F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e"/>
    <w:rsid w:val="0091456F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e"/>
    <w:rsid w:val="0091456F"/>
    <w:rPr>
      <w:rFonts w:cs="Arial"/>
      <w:sz w:val="16"/>
      <w:szCs w:val="15"/>
    </w:rPr>
  </w:style>
  <w:style w:type="paragraph" w:customStyle="1" w:styleId="FormFieldCaption">
    <w:name w:val="Form Field Caption"/>
    <w:basedOn w:val="Normale"/>
    <w:rsid w:val="0091456F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e"/>
    <w:rsid w:val="0091456F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e"/>
    <w:rsid w:val="0091456F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HeadingNote"/>
    <w:rsid w:val="0091456F"/>
    <w:rPr>
      <w:i w:val="0"/>
    </w:rPr>
  </w:style>
  <w:style w:type="character" w:styleId="Collegamentoipertestuale">
    <w:name w:val="Hyperlink"/>
    <w:rsid w:val="0091456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9145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sid w:val="0091456F"/>
    <w:rPr>
      <w:rFonts w:ascii="Arial" w:hAnsi="Arial"/>
      <w:b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styleId="Enfasigrassetto">
    <w:name w:val="Strong"/>
    <w:rsid w:val="0091456F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sid w:val="0091456F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Subtitle2">
    <w:name w:val="Subtitle 2"/>
    <w:basedOn w:val="Sottotitolo"/>
    <w:rsid w:val="0091456F"/>
    <w:pPr>
      <w:suppressAutoHyphens/>
      <w:autoSpaceDE w:val="0"/>
      <w:autoSpaceDN w:val="0"/>
      <w:spacing w:before="240" w:after="0" w:line="1" w:lineRule="atLeast"/>
      <w:ind w:leftChars="-1" w:left="-1" w:hangingChars="1" w:hanging="1"/>
      <w:textDirection w:val="btLr"/>
      <w:textAlignment w:val="top"/>
      <w:outlineLvl w:val="1"/>
    </w:pPr>
    <w:rPr>
      <w:rFonts w:ascii="Arial" w:hAnsi="Arial"/>
      <w:b/>
      <w:bCs/>
      <w:position w:val="-1"/>
      <w:sz w:val="22"/>
      <w:szCs w:val="20"/>
      <w:u w:val="single"/>
    </w:rPr>
  </w:style>
  <w:style w:type="paragraph" w:customStyle="1" w:styleId="CVNormal">
    <w:name w:val="CV Normal"/>
    <w:basedOn w:val="Normale"/>
    <w:rsid w:val="0091456F"/>
    <w:pPr>
      <w:suppressAutoHyphens w:val="0"/>
      <w:autoSpaceDE/>
      <w:autoSpaceDN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HeadingLevel">
    <w:name w:val="CV Heading Level"/>
    <w:basedOn w:val="Normale"/>
    <w:next w:val="Normale"/>
    <w:rsid w:val="0091456F"/>
    <w:pPr>
      <w:suppressAutoHyphens w:val="0"/>
      <w:autoSpaceDE/>
      <w:autoSpaceDN/>
      <w:ind w:left="113" w:right="113"/>
      <w:jc w:val="right"/>
      <w:textAlignment w:val="center"/>
    </w:pPr>
    <w:rPr>
      <w:rFonts w:ascii="Arial Narrow" w:hAnsi="Arial Narrow"/>
      <w:i/>
      <w:sz w:val="20"/>
      <w:szCs w:val="20"/>
      <w:lang w:eastAsia="ar-SA"/>
    </w:rPr>
  </w:style>
  <w:style w:type="paragraph" w:customStyle="1" w:styleId="CVHeading1">
    <w:name w:val="CV Heading 1"/>
    <w:basedOn w:val="Normale"/>
    <w:next w:val="Normale"/>
    <w:rsid w:val="0091456F"/>
    <w:pPr>
      <w:suppressAutoHyphens w:val="0"/>
      <w:autoSpaceDE/>
      <w:autoSpaceDN/>
      <w:spacing w:before="74"/>
      <w:ind w:left="113" w:right="113"/>
      <w:jc w:val="right"/>
    </w:pPr>
    <w:rPr>
      <w:rFonts w:ascii="Arial Narrow" w:hAnsi="Arial Narrow"/>
      <w:b/>
      <w:sz w:val="24"/>
      <w:szCs w:val="20"/>
      <w:lang w:eastAsia="ar-SA"/>
    </w:rPr>
  </w:style>
  <w:style w:type="paragraph" w:customStyle="1" w:styleId="CVHeading3">
    <w:name w:val="CV Heading 3"/>
    <w:basedOn w:val="Normale"/>
    <w:next w:val="Normale"/>
    <w:rsid w:val="0091456F"/>
    <w:pPr>
      <w:suppressAutoHyphens w:val="0"/>
      <w:autoSpaceDE/>
      <w:autoSpaceDN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1456F"/>
    <w:pPr>
      <w:spacing w:before="74"/>
    </w:pPr>
  </w:style>
  <w:style w:type="paragraph" w:customStyle="1" w:styleId="CVSpacer">
    <w:name w:val="CV Spacer"/>
    <w:basedOn w:val="CVNormal"/>
    <w:rsid w:val="0091456F"/>
    <w:rPr>
      <w:sz w:val="4"/>
    </w:rPr>
  </w:style>
  <w:style w:type="paragraph" w:customStyle="1" w:styleId="CVNormal-FirstLine">
    <w:name w:val="CV Normal - First Line"/>
    <w:basedOn w:val="CVNormal"/>
    <w:next w:val="CVNormal"/>
    <w:rsid w:val="0091456F"/>
    <w:pPr>
      <w:spacing w:before="74"/>
    </w:pPr>
  </w:style>
  <w:style w:type="paragraph" w:customStyle="1" w:styleId="CVHeading2-FirstLine">
    <w:name w:val="CV Heading 2 - First Line"/>
    <w:basedOn w:val="Normale"/>
    <w:next w:val="Normale"/>
    <w:rsid w:val="0091456F"/>
    <w:pPr>
      <w:suppressAutoHyphens w:val="0"/>
      <w:autoSpaceDE/>
      <w:autoSpaceDN/>
      <w:spacing w:before="74"/>
      <w:ind w:left="113" w:right="113"/>
      <w:jc w:val="right"/>
    </w:pPr>
    <w:rPr>
      <w:rFonts w:ascii="Arial Narrow" w:hAnsi="Arial Narrow"/>
      <w:szCs w:val="20"/>
      <w:lang w:eastAsia="ar-SA"/>
    </w:rPr>
  </w:style>
  <w:style w:type="character" w:customStyle="1" w:styleId="PidipaginaCarattere">
    <w:name w:val="Piè di pagina Carattere"/>
    <w:rsid w:val="0091456F"/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val="en-US" w:eastAsia="en-US"/>
    </w:rPr>
  </w:style>
  <w:style w:type="paragraph" w:styleId="Nessunaspaziatura">
    <w:name w:val="No Spacing"/>
    <w:rsid w:val="0091456F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2"/>
      <w:szCs w:val="24"/>
      <w:lang w:eastAsia="en-US"/>
    </w:rPr>
  </w:style>
  <w:style w:type="character" w:styleId="Rimandocommento">
    <w:name w:val="annotation reference"/>
    <w:rsid w:val="0091456F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sid w:val="0091456F"/>
    <w:rPr>
      <w:sz w:val="20"/>
      <w:szCs w:val="20"/>
    </w:rPr>
  </w:style>
  <w:style w:type="character" w:customStyle="1" w:styleId="TestocommentoCarattere">
    <w:name w:val="Testo commento Carattere"/>
    <w:rsid w:val="0091456F"/>
    <w:rPr>
      <w:rFonts w:ascii="Arial" w:hAnsi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Soggettocommento">
    <w:name w:val="annotation subject"/>
    <w:basedOn w:val="Testocommento"/>
    <w:next w:val="Testocommento"/>
    <w:rsid w:val="0091456F"/>
    <w:rPr>
      <w:b/>
      <w:bCs/>
    </w:rPr>
  </w:style>
  <w:style w:type="character" w:customStyle="1" w:styleId="SoggettocommentoCarattere">
    <w:name w:val="Soggetto commento Carattere"/>
    <w:rsid w:val="0091456F"/>
    <w:rPr>
      <w:rFonts w:ascii="Arial" w:hAnsi="Arial"/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Testofumetto">
    <w:name w:val="Balloon Text"/>
    <w:basedOn w:val="Normale"/>
    <w:rsid w:val="0091456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91456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character" w:customStyle="1" w:styleId="apple-converted-space">
    <w:name w:val="apple-converted-space"/>
    <w:basedOn w:val="Carpredefinitoparagrafo"/>
    <w:rsid w:val="0091456F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91456F"/>
    <w:pPr>
      <w:suppressAutoHyphens w:val="0"/>
      <w:autoSpaceDE/>
      <w:autoSpaceDN/>
      <w:ind w:left="720"/>
      <w:contextualSpacing/>
    </w:pPr>
    <w:rPr>
      <w:rFonts w:ascii="Arial Narrow" w:hAnsi="Arial Narrow"/>
      <w:sz w:val="20"/>
      <w:szCs w:val="20"/>
      <w:lang w:eastAsia="ar-SA"/>
    </w:rPr>
  </w:style>
  <w:style w:type="table" w:customStyle="1" w:styleId="a">
    <w:basedOn w:val="TableNormal"/>
    <w:rsid w:val="009145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145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sites/myncbi/1h_BanbtKt5AH/bibliography/40451553/public/?sort=date&amp;direction=descend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DI8cHybd7T+S63Gg7t20Lv5kPA==">AMUW2mWhwsupaQdMTm0ad2HBey20CzliMmMxnyyoH0aj9l2yIzvVPlOdgsujGGneGo9cyHhLihMzZ8e1oaCquZroYWvTlD9PaIw5pRZpBnpgYMiC7kgtH0M=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2368</Words>
  <Characters>13501</Characters>
  <Application>Microsoft Office Word</Application>
  <DocSecurity>0</DocSecurity>
  <Lines>112</Lines>
  <Paragraphs>31</Paragraphs>
  <ScaleCrop>false</ScaleCrop>
  <Company/>
  <LinksUpToDate>false</LinksUpToDate>
  <CharactersWithSpaces>15838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Extramural Programs</dc:creator>
  <cp:lastModifiedBy>Barca</cp:lastModifiedBy>
  <cp:revision>2</cp:revision>
  <dcterms:created xsi:type="dcterms:W3CDTF">2020-11-23T07:43:00Z</dcterms:created>
  <dcterms:modified xsi:type="dcterms:W3CDTF">2020-11-23T07:43:00Z</dcterms:modified>
</cp:coreProperties>
</file>