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A21F7" w14:textId="77777777" w:rsidR="007A618F" w:rsidRDefault="007A618F" w:rsidP="007A618F">
      <w:pPr>
        <w:pStyle w:val="Corpotesto"/>
        <w:rPr>
          <w:sz w:val="20"/>
        </w:rPr>
      </w:pPr>
    </w:p>
    <w:p w14:paraId="7EC5F876" w14:textId="77777777" w:rsidR="007A618F" w:rsidRDefault="007A618F" w:rsidP="007A618F">
      <w:pPr>
        <w:pStyle w:val="Corpotesto"/>
        <w:rPr>
          <w:sz w:val="20"/>
        </w:rPr>
      </w:pPr>
    </w:p>
    <w:p w14:paraId="0BD9D143" w14:textId="77777777" w:rsidR="007A618F" w:rsidRDefault="007A618F" w:rsidP="007A618F">
      <w:pPr>
        <w:pStyle w:val="Corpotesto"/>
        <w:rPr>
          <w:sz w:val="20"/>
        </w:rPr>
      </w:pPr>
      <w:r w:rsidRPr="00AB0F77">
        <w:rPr>
          <w:noProof/>
          <w:sz w:val="20"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1DE5DE" wp14:editId="78085434">
                <wp:simplePos x="0" y="0"/>
                <wp:positionH relativeFrom="column">
                  <wp:posOffset>1907540</wp:posOffset>
                </wp:positionH>
                <wp:positionV relativeFrom="paragraph">
                  <wp:posOffset>142875</wp:posOffset>
                </wp:positionV>
                <wp:extent cx="4276725" cy="104775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20DC3" w14:textId="77777777" w:rsidR="007A618F" w:rsidRDefault="007A618F" w:rsidP="007A61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D16C8C1" w14:textId="5984E3E3" w:rsidR="007A618F" w:rsidRPr="00AB0F77" w:rsidRDefault="002263DE" w:rsidP="007A618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263DE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Primary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DE5D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0.2pt;margin-top:11.25pt;width:336.7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">
                <v:textbox>
                  <w:txbxContent>
                    <w:p w14:paraId="5C420DC3" w14:textId="77777777" w:rsidR="007A618F" w:rsidRDefault="007A618F" w:rsidP="007A61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6D16C8C1" w14:textId="5984E3E3" w:rsidR="007A618F" w:rsidRPr="00AB0F77" w:rsidRDefault="002263DE" w:rsidP="007A618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263DE"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Primary Teacher Education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3DBDB3" w14:textId="77777777" w:rsidR="007A618F" w:rsidRDefault="007A618F" w:rsidP="007A618F">
      <w:pPr>
        <w:pStyle w:val="Corpotesto"/>
        <w:rPr>
          <w:sz w:val="20"/>
        </w:rPr>
      </w:pPr>
      <w:r w:rsidRPr="00AB0F77">
        <w:rPr>
          <w:noProof/>
          <w:sz w:val="20"/>
          <w:lang w:val="it-IT" w:eastAsia="it-IT"/>
        </w:rPr>
        <w:drawing>
          <wp:inline distT="0" distB="0" distL="0" distR="0" wp14:anchorId="729357EF" wp14:editId="19A14E35">
            <wp:extent cx="1400175" cy="1013090"/>
            <wp:effectExtent l="0" t="0" r="0" b="0"/>
            <wp:docPr id="1" name="Immagine 1" descr="C:\Users\Carlo\Downloads\Logo Uniba Aldo M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o\Downloads\Logo Uniba Aldo Mor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256" cy="10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34501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4F9B346B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1036CCC8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215ADB51" w14:textId="77777777" w:rsidR="00F83E16" w:rsidRPr="00EC3651" w:rsidRDefault="00F83E16">
      <w:pPr>
        <w:pStyle w:val="Corpotesto"/>
        <w:rPr>
          <w:sz w:val="20"/>
          <w:lang w:val="it-IT"/>
        </w:rPr>
      </w:pPr>
    </w:p>
    <w:p w14:paraId="359C70EB" w14:textId="77777777" w:rsidR="00F83E16" w:rsidRPr="00EC3651" w:rsidRDefault="00F83E16">
      <w:pPr>
        <w:pStyle w:val="Corpotesto"/>
        <w:spacing w:before="6" w:after="1"/>
        <w:rPr>
          <w:sz w:val="28"/>
          <w:lang w:val="it-IT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100"/>
        <w:gridCol w:w="1098"/>
        <w:gridCol w:w="4536"/>
      </w:tblGrid>
      <w:tr w:rsidR="00F83E16" w14:paraId="41A3E82C" w14:textId="77777777">
        <w:trPr>
          <w:trHeight w:val="244"/>
        </w:trPr>
        <w:tc>
          <w:tcPr>
            <w:tcW w:w="9444" w:type="dxa"/>
            <w:gridSpan w:val="4"/>
            <w:shd w:val="clear" w:color="auto" w:fill="B1A0C6"/>
          </w:tcPr>
          <w:p w14:paraId="4DA4AD9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General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</w:tr>
      <w:tr w:rsidR="00F83E16" w14:paraId="56B65B1B" w14:textId="77777777">
        <w:trPr>
          <w:trHeight w:val="244"/>
        </w:trPr>
        <w:tc>
          <w:tcPr>
            <w:tcW w:w="2710" w:type="dxa"/>
          </w:tcPr>
          <w:p w14:paraId="480EBEEB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6734" w:type="dxa"/>
            <w:gridSpan w:val="3"/>
          </w:tcPr>
          <w:p w14:paraId="78BF1C87" w14:textId="4853B923" w:rsidR="00F83E16" w:rsidRDefault="003640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English Laboratory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(5</w:t>
            </w:r>
            <w:r w:rsidRPr="0036400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Year)</w:t>
            </w:r>
          </w:p>
        </w:tc>
      </w:tr>
      <w:tr w:rsidR="00F83E16" w14:paraId="6D4F20DF" w14:textId="77777777">
        <w:trPr>
          <w:trHeight w:val="243"/>
        </w:trPr>
        <w:tc>
          <w:tcPr>
            <w:tcW w:w="2710" w:type="dxa"/>
          </w:tcPr>
          <w:p w14:paraId="2CD20296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Degree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6734" w:type="dxa"/>
            <w:gridSpan w:val="3"/>
          </w:tcPr>
          <w:p w14:paraId="0FB9FDED" w14:textId="45BB31F0" w:rsidR="00F83E16" w:rsidRDefault="00364003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Primary Teacher Education</w:t>
            </w:r>
          </w:p>
        </w:tc>
      </w:tr>
      <w:tr w:rsidR="00F83E16" w14:paraId="148BB707" w14:textId="77777777">
        <w:trPr>
          <w:trHeight w:val="244"/>
        </w:trPr>
        <w:tc>
          <w:tcPr>
            <w:tcW w:w="2710" w:type="dxa"/>
          </w:tcPr>
          <w:p w14:paraId="0FACF88F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6734" w:type="dxa"/>
            <w:gridSpan w:val="3"/>
          </w:tcPr>
          <w:p w14:paraId="79C84F00" w14:textId="591B0326" w:rsidR="00F83E16" w:rsidRDefault="0075298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5th Year</w:t>
            </w:r>
          </w:p>
        </w:tc>
      </w:tr>
      <w:tr w:rsidR="00F83E16" w14:paraId="098529BE" w14:textId="77777777">
        <w:trPr>
          <w:trHeight w:val="487"/>
        </w:trPr>
        <w:tc>
          <w:tcPr>
            <w:tcW w:w="4908" w:type="dxa"/>
            <w:gridSpan w:val="3"/>
          </w:tcPr>
          <w:p w14:paraId="4EF93D1E" w14:textId="77777777" w:rsidR="00F83E16" w:rsidRDefault="0049451A">
            <w:pPr>
              <w:pStyle w:val="TableParagraph"/>
              <w:spacing w:line="240" w:lineRule="atLeast"/>
              <w:ind w:left="110" w:right="602"/>
              <w:rPr>
                <w:sz w:val="20"/>
              </w:rPr>
            </w:pPr>
            <w:r>
              <w:rPr>
                <w:sz w:val="20"/>
              </w:rPr>
              <w:t>European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Accumulation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(ECTS)</w:t>
            </w:r>
          </w:p>
        </w:tc>
        <w:tc>
          <w:tcPr>
            <w:tcW w:w="4536" w:type="dxa"/>
          </w:tcPr>
          <w:p w14:paraId="4AAA7CDE" w14:textId="5AEA66FC" w:rsidR="00F83E16" w:rsidRDefault="007529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2</w:t>
            </w:r>
          </w:p>
        </w:tc>
      </w:tr>
      <w:tr w:rsidR="00F83E16" w14:paraId="4F049603" w14:textId="77777777">
        <w:trPr>
          <w:trHeight w:val="244"/>
        </w:trPr>
        <w:tc>
          <w:tcPr>
            <w:tcW w:w="2710" w:type="dxa"/>
          </w:tcPr>
          <w:p w14:paraId="549F1060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6734" w:type="dxa"/>
            <w:gridSpan w:val="3"/>
          </w:tcPr>
          <w:p w14:paraId="75440F1C" w14:textId="674AC340" w:rsidR="00F83E16" w:rsidRPr="0075298A" w:rsidRDefault="007529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75298A">
              <w:rPr>
                <w:rFonts w:asciiTheme="minorHAnsi" w:hAnsiTheme="minorHAnsi" w:cstheme="minorHAnsi"/>
                <w:sz w:val="20"/>
                <w:szCs w:val="20"/>
              </w:rPr>
              <w:t>English</w:t>
            </w:r>
          </w:p>
        </w:tc>
      </w:tr>
      <w:tr w:rsidR="00F83E16" w14:paraId="090810D8" w14:textId="77777777">
        <w:trPr>
          <w:trHeight w:val="487"/>
        </w:trPr>
        <w:tc>
          <w:tcPr>
            <w:tcW w:w="3810" w:type="dxa"/>
            <w:gridSpan w:val="2"/>
          </w:tcPr>
          <w:p w14:paraId="7DFBE034" w14:textId="77777777" w:rsidR="00F83E16" w:rsidRDefault="0049451A">
            <w:pPr>
              <w:pStyle w:val="TableParagraph"/>
              <w:spacing w:line="240" w:lineRule="atLeast"/>
              <w:ind w:left="110" w:right="471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(starting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ending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</w:p>
        </w:tc>
        <w:tc>
          <w:tcPr>
            <w:tcW w:w="5634" w:type="dxa"/>
            <w:gridSpan w:val="2"/>
          </w:tcPr>
          <w:p w14:paraId="42D53968" w14:textId="3584D1E3" w:rsidR="00F83E16" w:rsidRDefault="007529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First Semester</w:t>
            </w:r>
          </w:p>
        </w:tc>
      </w:tr>
      <w:tr w:rsidR="00F83E16" w14:paraId="1C4C752E" w14:textId="77777777">
        <w:trPr>
          <w:trHeight w:val="243"/>
        </w:trPr>
        <w:tc>
          <w:tcPr>
            <w:tcW w:w="2710" w:type="dxa"/>
          </w:tcPr>
          <w:p w14:paraId="157ADB9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Attendance</w:t>
            </w:r>
          </w:p>
        </w:tc>
        <w:tc>
          <w:tcPr>
            <w:tcW w:w="6734" w:type="dxa"/>
            <w:gridSpan w:val="3"/>
          </w:tcPr>
          <w:p w14:paraId="25467D95" w14:textId="415F5B4C" w:rsidR="00F83E16" w:rsidRPr="0075298A" w:rsidRDefault="0075298A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Pr="0075298A">
              <w:rPr>
                <w:rFonts w:asciiTheme="minorHAnsi" w:hAnsiTheme="minorHAnsi" w:cstheme="minorHAnsi"/>
                <w:sz w:val="20"/>
                <w:szCs w:val="20"/>
              </w:rPr>
              <w:t>Mandatory</w:t>
            </w:r>
          </w:p>
        </w:tc>
      </w:tr>
    </w:tbl>
    <w:p w14:paraId="3C381418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732"/>
      </w:tblGrid>
      <w:tr w:rsidR="00F83E16" w14:paraId="793DEBBF" w14:textId="77777777">
        <w:trPr>
          <w:trHeight w:val="244"/>
        </w:trPr>
        <w:tc>
          <w:tcPr>
            <w:tcW w:w="2712" w:type="dxa"/>
            <w:shd w:val="clear" w:color="auto" w:fill="B1A0C6"/>
          </w:tcPr>
          <w:p w14:paraId="4E67A0E7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Professor/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Lecturer</w:t>
            </w:r>
          </w:p>
        </w:tc>
        <w:tc>
          <w:tcPr>
            <w:tcW w:w="6732" w:type="dxa"/>
          </w:tcPr>
          <w:p w14:paraId="7894A2FE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4634534D" w14:textId="77777777">
        <w:trPr>
          <w:trHeight w:val="243"/>
        </w:trPr>
        <w:tc>
          <w:tcPr>
            <w:tcW w:w="2712" w:type="dxa"/>
          </w:tcPr>
          <w:p w14:paraId="5789F9CB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Surname</w:t>
            </w:r>
          </w:p>
        </w:tc>
        <w:tc>
          <w:tcPr>
            <w:tcW w:w="6732" w:type="dxa"/>
          </w:tcPr>
          <w:p w14:paraId="6340C0E1" w14:textId="57AA40FC" w:rsidR="00F83E16" w:rsidRDefault="0075298A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Rosita Belinda Maglie</w:t>
            </w:r>
          </w:p>
        </w:tc>
      </w:tr>
      <w:tr w:rsidR="00F83E16" w14:paraId="0DC5A828" w14:textId="77777777">
        <w:trPr>
          <w:trHeight w:val="244"/>
        </w:trPr>
        <w:tc>
          <w:tcPr>
            <w:tcW w:w="2712" w:type="dxa"/>
          </w:tcPr>
          <w:p w14:paraId="606C8976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  <w:tc>
          <w:tcPr>
            <w:tcW w:w="6732" w:type="dxa"/>
          </w:tcPr>
          <w:p w14:paraId="3EE26190" w14:textId="017A0922" w:rsidR="00F83E16" w:rsidRDefault="0075298A">
            <w:pPr>
              <w:pStyle w:val="TableParagraph"/>
              <w:rPr>
                <w:rFonts w:ascii="Times New Roman"/>
                <w:sz w:val="16"/>
              </w:rPr>
            </w:pPr>
            <w:r w:rsidRPr="007B6D7F">
              <w:rPr>
                <w:sz w:val="20"/>
              </w:rPr>
              <w:t>rosita.maglie@uniba.it</w:t>
            </w:r>
          </w:p>
        </w:tc>
      </w:tr>
      <w:tr w:rsidR="00F83E16" w14:paraId="69F88353" w14:textId="77777777">
        <w:trPr>
          <w:trHeight w:val="243"/>
        </w:trPr>
        <w:tc>
          <w:tcPr>
            <w:tcW w:w="2712" w:type="dxa"/>
          </w:tcPr>
          <w:p w14:paraId="72D0CE03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6732" w:type="dxa"/>
          </w:tcPr>
          <w:p w14:paraId="4F7C2DDE" w14:textId="0263B812" w:rsidR="00F83E16" w:rsidRDefault="0075298A">
            <w:pPr>
              <w:pStyle w:val="TableParagraph"/>
              <w:rPr>
                <w:rFonts w:ascii="Times New Roman"/>
                <w:sz w:val="16"/>
              </w:rPr>
            </w:pPr>
            <w:hyperlink r:id="rId6" w:history="1">
              <w:r w:rsidRPr="007B6D7F">
                <w:t>0805714735</w:t>
              </w:r>
            </w:hyperlink>
          </w:p>
        </w:tc>
      </w:tr>
      <w:tr w:rsidR="00F83E16" w14:paraId="6681B927" w14:textId="77777777">
        <w:trPr>
          <w:trHeight w:val="243"/>
        </w:trPr>
        <w:tc>
          <w:tcPr>
            <w:tcW w:w="2712" w:type="dxa"/>
          </w:tcPr>
          <w:p w14:paraId="7DD2F3A5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Department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6732" w:type="dxa"/>
          </w:tcPr>
          <w:p w14:paraId="20DA01BF" w14:textId="04A4C9BA" w:rsidR="00F83E16" w:rsidRDefault="0075298A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>
              <w:rPr>
                <w:sz w:val="20"/>
              </w:rPr>
              <w:t>Chiaia</w:t>
            </w:r>
            <w:proofErr w:type="spellEnd"/>
            <w:r>
              <w:rPr>
                <w:sz w:val="20"/>
              </w:rPr>
              <w:t xml:space="preserve"> Napolitano Building, 3rd floor, office n. 3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F83E16" w14:paraId="10382C10" w14:textId="77777777">
        <w:trPr>
          <w:trHeight w:val="243"/>
        </w:trPr>
        <w:tc>
          <w:tcPr>
            <w:tcW w:w="2712" w:type="dxa"/>
          </w:tcPr>
          <w:p w14:paraId="19A8F2EC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Virtual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headquarters</w:t>
            </w:r>
          </w:p>
        </w:tc>
        <w:tc>
          <w:tcPr>
            <w:tcW w:w="6732" w:type="dxa"/>
          </w:tcPr>
          <w:p w14:paraId="017C14D7" w14:textId="764F9911" w:rsidR="00F83E16" w:rsidRDefault="0075298A">
            <w:pPr>
              <w:pStyle w:val="TableParagraph"/>
              <w:rPr>
                <w:rFonts w:ascii="Times New Roman"/>
                <w:sz w:val="16"/>
              </w:rPr>
            </w:pPr>
            <w:r w:rsidRPr="004D6F86">
              <w:rPr>
                <w:sz w:val="20"/>
              </w:rPr>
              <w:t>Platform Teams. C</w:t>
            </w:r>
            <w:r>
              <w:rPr>
                <w:sz w:val="20"/>
              </w:rPr>
              <w:t xml:space="preserve">ode: </w:t>
            </w:r>
            <w:r w:rsidRPr="004D6F86">
              <w:rPr>
                <w:sz w:val="20"/>
              </w:rPr>
              <w:t>9z4kr8p</w:t>
            </w:r>
          </w:p>
        </w:tc>
      </w:tr>
      <w:tr w:rsidR="00F83E16" w14:paraId="26F81418" w14:textId="77777777">
        <w:trPr>
          <w:trHeight w:val="244"/>
        </w:trPr>
        <w:tc>
          <w:tcPr>
            <w:tcW w:w="2712" w:type="dxa"/>
          </w:tcPr>
          <w:p w14:paraId="55FF1EE1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Tutoring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day)</w:t>
            </w:r>
          </w:p>
        </w:tc>
        <w:tc>
          <w:tcPr>
            <w:tcW w:w="6732" w:type="dxa"/>
          </w:tcPr>
          <w:p w14:paraId="37508481" w14:textId="2BD0252B" w:rsidR="00F83E16" w:rsidRDefault="0075298A" w:rsidP="002263DE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4D6F86">
              <w:rPr>
                <w:sz w:val="20"/>
              </w:rPr>
              <w:t xml:space="preserve">On Wednesdays </w:t>
            </w:r>
            <w:r>
              <w:rPr>
                <w:sz w:val="20"/>
              </w:rPr>
              <w:t xml:space="preserve">from </w:t>
            </w:r>
            <w:r w:rsidRPr="004D6F86">
              <w:rPr>
                <w:sz w:val="20"/>
              </w:rPr>
              <w:t>10</w:t>
            </w:r>
            <w:r>
              <w:rPr>
                <w:sz w:val="20"/>
              </w:rPr>
              <w:t xml:space="preserve"> to </w:t>
            </w:r>
            <w:r w:rsidRPr="004D6F86">
              <w:rPr>
                <w:sz w:val="20"/>
              </w:rPr>
              <w:t>11</w:t>
            </w:r>
            <w:r>
              <w:rPr>
                <w:sz w:val="20"/>
              </w:rPr>
              <w:t xml:space="preserve"> a.m.</w:t>
            </w:r>
            <w:r w:rsidRPr="004D6F86">
              <w:rPr>
                <w:sz w:val="20"/>
              </w:rPr>
              <w:t xml:space="preserve"> It can change according to </w:t>
            </w:r>
            <w:r>
              <w:rPr>
                <w:sz w:val="20"/>
              </w:rPr>
              <w:t xml:space="preserve">the </w:t>
            </w:r>
            <w:r w:rsidRPr="004D6F86">
              <w:rPr>
                <w:sz w:val="20"/>
              </w:rPr>
              <w:t>academic year t</w:t>
            </w:r>
            <w:r>
              <w:rPr>
                <w:sz w:val="20"/>
              </w:rPr>
              <w:t>imetable and specific needs of the students and/or the professor in charge of the laboratory.</w:t>
            </w:r>
          </w:p>
        </w:tc>
      </w:tr>
    </w:tbl>
    <w:p w14:paraId="16279E49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6732"/>
      </w:tblGrid>
      <w:tr w:rsidR="00F83E16" w14:paraId="4ADB02B2" w14:textId="77777777">
        <w:trPr>
          <w:trHeight w:val="243"/>
        </w:trPr>
        <w:tc>
          <w:tcPr>
            <w:tcW w:w="2712" w:type="dxa"/>
            <w:tcBorders>
              <w:left w:val="nil"/>
              <w:right w:val="nil"/>
            </w:tcBorders>
          </w:tcPr>
          <w:p w14:paraId="08F00787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2" w:type="dxa"/>
            <w:tcBorders>
              <w:left w:val="nil"/>
              <w:right w:val="nil"/>
            </w:tcBorders>
          </w:tcPr>
          <w:p w14:paraId="7B5D7193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200FDA2B" w14:textId="77777777">
        <w:trPr>
          <w:trHeight w:val="243"/>
        </w:trPr>
        <w:tc>
          <w:tcPr>
            <w:tcW w:w="2712" w:type="dxa"/>
            <w:shd w:val="clear" w:color="auto" w:fill="B1A0C6"/>
          </w:tcPr>
          <w:p w14:paraId="4F034EE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Syllabus</w:t>
            </w:r>
          </w:p>
        </w:tc>
        <w:tc>
          <w:tcPr>
            <w:tcW w:w="6732" w:type="dxa"/>
          </w:tcPr>
          <w:p w14:paraId="4CF64DB4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4C1D9677" w14:textId="77777777">
        <w:trPr>
          <w:trHeight w:val="243"/>
        </w:trPr>
        <w:tc>
          <w:tcPr>
            <w:tcW w:w="2712" w:type="dxa"/>
          </w:tcPr>
          <w:p w14:paraId="1B316D0E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Objectives</w:t>
            </w:r>
          </w:p>
        </w:tc>
        <w:tc>
          <w:tcPr>
            <w:tcW w:w="6732" w:type="dxa"/>
          </w:tcPr>
          <w:p w14:paraId="523165DC" w14:textId="5E5DB650" w:rsidR="00F83E16" w:rsidRDefault="0075298A" w:rsidP="0075298A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1D3103">
              <w:rPr>
                <w:rStyle w:val="normaltextrun"/>
                <w:color w:val="000000"/>
                <w:position w:val="2"/>
                <w:sz w:val="20"/>
                <w:szCs w:val="20"/>
              </w:rPr>
              <w:t xml:space="preserve">The student will have to: - know the nature of dyslexia; - learn specific learning difficulties associated with dyslexia; - have to identify dyslexia; - know the effects of dyslexia on foreign language learning; - know classroom accommodations for foreign language learners with dyslexia; learn techniques for developing phonological and orthographic awareness; - learn techniques for teaching vocabulary and grammar; - learn techniques for teaching listening and speaking; - learn techniques for teaching; - learn techniques for teaching reading and writing; - learn how to assess </w:t>
            </w:r>
            <w:r>
              <w:rPr>
                <w:rStyle w:val="normaltextrun"/>
                <w:color w:val="000000"/>
                <w:position w:val="2"/>
                <w:sz w:val="20"/>
                <w:szCs w:val="20"/>
              </w:rPr>
              <w:t>English</w:t>
            </w:r>
            <w:r w:rsidRPr="001D3103">
              <w:rPr>
                <w:rStyle w:val="normaltextrun"/>
                <w:color w:val="000000"/>
                <w:position w:val="2"/>
                <w:sz w:val="20"/>
                <w:szCs w:val="20"/>
              </w:rPr>
              <w:t xml:space="preserve"> language learners with dyslexia .</w:t>
            </w:r>
          </w:p>
        </w:tc>
      </w:tr>
      <w:tr w:rsidR="00F83E16" w14:paraId="2F0886BD" w14:textId="77777777">
        <w:trPr>
          <w:trHeight w:val="244"/>
        </w:trPr>
        <w:tc>
          <w:tcPr>
            <w:tcW w:w="2712" w:type="dxa"/>
          </w:tcPr>
          <w:p w14:paraId="26224280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prerequisites</w:t>
            </w:r>
          </w:p>
        </w:tc>
        <w:tc>
          <w:tcPr>
            <w:tcW w:w="6732" w:type="dxa"/>
          </w:tcPr>
          <w:p w14:paraId="0B5DF83A" w14:textId="0B602D0B" w:rsidR="00F83E16" w:rsidRDefault="0075298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1AAE">
              <w:rPr>
                <w:rFonts w:asciiTheme="minorHAnsi" w:hAnsiTheme="minorHAnsi" w:cstheme="minorHAnsi"/>
                <w:sz w:val="20"/>
                <w:szCs w:val="20"/>
              </w:rPr>
              <w:t>Doing well in the previous exam (English Lab 4); Knowledge of English (Level B2)</w:t>
            </w:r>
          </w:p>
        </w:tc>
      </w:tr>
      <w:tr w:rsidR="00F83E16" w14:paraId="5A93A5FC" w14:textId="77777777">
        <w:trPr>
          <w:trHeight w:val="243"/>
        </w:trPr>
        <w:tc>
          <w:tcPr>
            <w:tcW w:w="2712" w:type="dxa"/>
          </w:tcPr>
          <w:p w14:paraId="7525C6F1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6732" w:type="dxa"/>
          </w:tcPr>
          <w:p w14:paraId="454DF3ED" w14:textId="591FFBDE" w:rsidR="00F83E16" w:rsidRDefault="00BC2A10" w:rsidP="002263DE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(a) Thematic Studies on specific themes related to Teaching English to (very) Young Learners (TEYL)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with dyslexia</w:t>
            </w: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; (b) Teaching Methodologies; (c) Scientific Literature 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dyslexia for teachers of English as a Foreign Language</w:t>
            </w:r>
            <w:r w:rsidRPr="006B2A81">
              <w:rPr>
                <w:rFonts w:asciiTheme="minorHAnsi" w:hAnsiTheme="minorHAnsi" w:cstheme="minorHAnsi"/>
                <w:sz w:val="20"/>
                <w:szCs w:val="20"/>
              </w:rPr>
              <w:t>; (d) Analysis of blogs and teaching materials; (d) Lesson Plans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C2A10" w14:paraId="53E75733" w14:textId="77777777">
        <w:trPr>
          <w:trHeight w:val="243"/>
        </w:trPr>
        <w:tc>
          <w:tcPr>
            <w:tcW w:w="2712" w:type="dxa"/>
          </w:tcPr>
          <w:p w14:paraId="6D539B0C" w14:textId="77777777" w:rsidR="00BC2A10" w:rsidRDefault="00BC2A10" w:rsidP="00BC2A10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Books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bibliography</w:t>
            </w:r>
          </w:p>
        </w:tc>
        <w:tc>
          <w:tcPr>
            <w:tcW w:w="6732" w:type="dxa"/>
          </w:tcPr>
          <w:p w14:paraId="3B7007C8" w14:textId="79831F41" w:rsidR="00BC2A10" w:rsidRDefault="00BC2A10" w:rsidP="00BC2A10">
            <w:pPr>
              <w:pStyle w:val="TableParagraph"/>
              <w:rPr>
                <w:rFonts w:ascii="Times New Roman"/>
                <w:sz w:val="16"/>
              </w:rPr>
            </w:pPr>
            <w:hyperlink r:id="rId7" w:history="1">
              <w:r w:rsidRPr="001C3B3F">
                <w:rPr>
                  <w:rStyle w:val="Collegamentoipertestuale"/>
                  <w:sz w:val="20"/>
                  <w:szCs w:val="20"/>
                </w:rPr>
                <w:t>http://dystefl2.uni.lodz.pl/?page_id=1053</w:t>
              </w:r>
            </w:hyperlink>
          </w:p>
        </w:tc>
      </w:tr>
      <w:tr w:rsidR="00BC2A10" w14:paraId="295FF620" w14:textId="77777777">
        <w:trPr>
          <w:trHeight w:val="243"/>
        </w:trPr>
        <w:tc>
          <w:tcPr>
            <w:tcW w:w="2712" w:type="dxa"/>
          </w:tcPr>
          <w:p w14:paraId="6D092DAB" w14:textId="77777777" w:rsidR="00BC2A10" w:rsidRDefault="00BC2A10" w:rsidP="00BC2A10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materials</w:t>
            </w:r>
          </w:p>
        </w:tc>
        <w:tc>
          <w:tcPr>
            <w:tcW w:w="6732" w:type="dxa"/>
          </w:tcPr>
          <w:p w14:paraId="1429F9C7" w14:textId="78346713" w:rsidR="00BC2A10" w:rsidRDefault="00BC2A10" w:rsidP="002263DE">
            <w:pPr>
              <w:pStyle w:val="TableParagraph"/>
              <w:jc w:val="both"/>
              <w:rPr>
                <w:rFonts w:ascii="Times New Roman"/>
                <w:sz w:val="16"/>
              </w:rPr>
            </w:pP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Nijakowska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Kormos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J.,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Hanusova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S.,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Jaroszewicz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Kálmos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B,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Imrene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Sarkadi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A., Smith, A. M.,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Szymańska-Czaplak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E.,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Vojtkova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N., Alexiou, T.,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Košak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Babuder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Mattheoudakis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M.,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Pižorn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K. (2015). DysTEFL2 – Dyslexia for teachers of English as a foreign language. Self-study course. ©DysTEFL2 course training materials were developed in the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DysTEFL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project (co-financed by the European Commission within the Lifelong Learning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project number: 518466-LLP-1-2011-PL-COMENIUS-CMP) and then updated and supplemented in the DysTEFL2 project (co-financed by the European Commission within the Erasmus+ </w:t>
            </w:r>
            <w:proofErr w:type="spellStart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Programme</w:t>
            </w:r>
            <w:proofErr w:type="spellEnd"/>
            <w:r w:rsidRPr="000D0D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project number: 2014-1-PL01-KA200-003578).</w:t>
            </w:r>
          </w:p>
        </w:tc>
      </w:tr>
    </w:tbl>
    <w:p w14:paraId="6171F141" w14:textId="77777777" w:rsidR="00F83E16" w:rsidRDefault="00F83E16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1231"/>
        <w:gridCol w:w="825"/>
        <w:gridCol w:w="4118"/>
        <w:gridCol w:w="1792"/>
      </w:tblGrid>
      <w:tr w:rsidR="00F83E16" w14:paraId="1DC123CE" w14:textId="77777777">
        <w:trPr>
          <w:trHeight w:val="244"/>
        </w:trPr>
        <w:tc>
          <w:tcPr>
            <w:tcW w:w="2709" w:type="dxa"/>
            <w:gridSpan w:val="2"/>
            <w:shd w:val="clear" w:color="auto" w:fill="B1A0C6"/>
          </w:tcPr>
          <w:p w14:paraId="6B413D5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Work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schedule</w:t>
            </w:r>
          </w:p>
        </w:tc>
        <w:tc>
          <w:tcPr>
            <w:tcW w:w="6735" w:type="dxa"/>
            <w:gridSpan w:val="3"/>
          </w:tcPr>
          <w:p w14:paraId="40DA9CE0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77A8BF34" w14:textId="77777777">
        <w:trPr>
          <w:trHeight w:val="731"/>
        </w:trPr>
        <w:tc>
          <w:tcPr>
            <w:tcW w:w="1478" w:type="dxa"/>
          </w:tcPr>
          <w:p w14:paraId="158754EE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2056" w:type="dxa"/>
            <w:gridSpan w:val="2"/>
          </w:tcPr>
          <w:p w14:paraId="03D1DFB1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Lectures</w:t>
            </w:r>
          </w:p>
        </w:tc>
        <w:tc>
          <w:tcPr>
            <w:tcW w:w="4118" w:type="dxa"/>
          </w:tcPr>
          <w:p w14:paraId="257F49BE" w14:textId="77777777" w:rsidR="00F83E16" w:rsidRDefault="0049451A">
            <w:pPr>
              <w:pStyle w:val="TableParagraph"/>
              <w:tabs>
                <w:tab w:val="left" w:pos="847"/>
                <w:tab w:val="left" w:pos="1288"/>
                <w:tab w:val="left" w:pos="2515"/>
                <w:tab w:val="left" w:pos="3397"/>
              </w:tabs>
              <w:spacing w:before="3"/>
              <w:ind w:left="110" w:right="100"/>
              <w:rPr>
                <w:sz w:val="20"/>
              </w:rPr>
            </w:pPr>
            <w:r>
              <w:rPr>
                <w:sz w:val="20"/>
              </w:rPr>
              <w:t>Hands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(Laboratory,</w:t>
            </w:r>
            <w:r>
              <w:rPr>
                <w:sz w:val="20"/>
              </w:rPr>
              <w:tab/>
              <w:t>working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groups,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seminars,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trips)</w:t>
            </w:r>
          </w:p>
        </w:tc>
        <w:tc>
          <w:tcPr>
            <w:tcW w:w="1792" w:type="dxa"/>
          </w:tcPr>
          <w:p w14:paraId="1F3CB998" w14:textId="77777777" w:rsidR="00F83E16" w:rsidRDefault="0049451A">
            <w:pPr>
              <w:pStyle w:val="TableParagraph"/>
              <w:spacing w:line="240" w:lineRule="atLeast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Out-of-class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hours/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Self-study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</w:p>
        </w:tc>
      </w:tr>
      <w:tr w:rsidR="00F83E16" w14:paraId="0DBA8914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1FBC1691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Hours</w:t>
            </w:r>
          </w:p>
        </w:tc>
      </w:tr>
      <w:tr w:rsidR="00F83E16" w14:paraId="0E175ABE" w14:textId="77777777">
        <w:trPr>
          <w:trHeight w:val="244"/>
        </w:trPr>
        <w:tc>
          <w:tcPr>
            <w:tcW w:w="1478" w:type="dxa"/>
          </w:tcPr>
          <w:p w14:paraId="482973EB" w14:textId="024774C3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20</w:t>
            </w:r>
          </w:p>
        </w:tc>
        <w:tc>
          <w:tcPr>
            <w:tcW w:w="2056" w:type="dxa"/>
            <w:gridSpan w:val="2"/>
          </w:tcPr>
          <w:p w14:paraId="7950EC4A" w14:textId="4830EF93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5</w:t>
            </w:r>
          </w:p>
        </w:tc>
        <w:tc>
          <w:tcPr>
            <w:tcW w:w="4118" w:type="dxa"/>
          </w:tcPr>
          <w:p w14:paraId="3085BEA2" w14:textId="7B5C2E2E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15</w:t>
            </w:r>
          </w:p>
        </w:tc>
        <w:tc>
          <w:tcPr>
            <w:tcW w:w="1792" w:type="dxa"/>
          </w:tcPr>
          <w:p w14:paraId="15EF081F" w14:textId="11D92920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</w:rPr>
              <w:t>as wished by the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udent</w:t>
            </w:r>
          </w:p>
        </w:tc>
      </w:tr>
      <w:tr w:rsidR="00F83E16" w14:paraId="08567255" w14:textId="77777777">
        <w:trPr>
          <w:trHeight w:val="243"/>
        </w:trPr>
        <w:tc>
          <w:tcPr>
            <w:tcW w:w="9444" w:type="dxa"/>
            <w:gridSpan w:val="5"/>
            <w:shd w:val="clear" w:color="auto" w:fill="B1A0C6"/>
          </w:tcPr>
          <w:p w14:paraId="3100D775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</w:tc>
      </w:tr>
      <w:tr w:rsidR="00F83E16" w14:paraId="6D1F0801" w14:textId="77777777">
        <w:trPr>
          <w:trHeight w:val="243"/>
        </w:trPr>
        <w:tc>
          <w:tcPr>
            <w:tcW w:w="1478" w:type="dxa"/>
          </w:tcPr>
          <w:p w14:paraId="776CDDA6" w14:textId="20EB30EE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2</w:t>
            </w:r>
          </w:p>
        </w:tc>
        <w:tc>
          <w:tcPr>
            <w:tcW w:w="2056" w:type="dxa"/>
            <w:gridSpan w:val="2"/>
          </w:tcPr>
          <w:p w14:paraId="2680210B" w14:textId="16E7ABDF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0.5</w:t>
            </w:r>
          </w:p>
        </w:tc>
        <w:tc>
          <w:tcPr>
            <w:tcW w:w="4118" w:type="dxa"/>
          </w:tcPr>
          <w:p w14:paraId="1C8060AA" w14:textId="1DB42D26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1.5</w:t>
            </w:r>
          </w:p>
        </w:tc>
        <w:tc>
          <w:tcPr>
            <w:tcW w:w="1792" w:type="dxa"/>
          </w:tcPr>
          <w:p w14:paraId="0409200B" w14:textId="410AB060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 w:rsidRPr="009B188E">
              <w:rPr>
                <w:rFonts w:asciiTheme="minorHAnsi" w:hAnsiTheme="minorHAnsi" w:cstheme="minorHAnsi"/>
                <w:sz w:val="20"/>
                <w:szCs w:val="20"/>
              </w:rPr>
              <w:t>as wished by the st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udent</w:t>
            </w:r>
          </w:p>
        </w:tc>
      </w:tr>
      <w:tr w:rsidR="00F83E16" w14:paraId="753E6A4C" w14:textId="77777777">
        <w:trPr>
          <w:trHeight w:val="243"/>
        </w:trPr>
        <w:tc>
          <w:tcPr>
            <w:tcW w:w="2709" w:type="dxa"/>
            <w:gridSpan w:val="2"/>
            <w:shd w:val="clear" w:color="auto" w:fill="B1A0C6"/>
          </w:tcPr>
          <w:p w14:paraId="5A830F8A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Teaching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strategy</w:t>
            </w:r>
          </w:p>
        </w:tc>
        <w:tc>
          <w:tcPr>
            <w:tcW w:w="6735" w:type="dxa"/>
            <w:gridSpan w:val="3"/>
          </w:tcPr>
          <w:p w14:paraId="70F800AA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28B206C1" w14:textId="77777777">
        <w:trPr>
          <w:trHeight w:val="244"/>
        </w:trPr>
        <w:tc>
          <w:tcPr>
            <w:tcW w:w="2709" w:type="dxa"/>
            <w:gridSpan w:val="2"/>
          </w:tcPr>
          <w:p w14:paraId="7680DF37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5" w:type="dxa"/>
            <w:gridSpan w:val="3"/>
          </w:tcPr>
          <w:p w14:paraId="490039B1" w14:textId="6E35019B" w:rsidR="00F83E16" w:rsidRDefault="00BC2A10">
            <w:pPr>
              <w:pStyle w:val="TableParagraph"/>
              <w:rPr>
                <w:rFonts w:ascii="Times New Roman"/>
                <w:sz w:val="16"/>
              </w:rPr>
            </w:pPr>
            <w:r w:rsidRPr="00E96715">
              <w:rPr>
                <w:sz w:val="20"/>
                <w:szCs w:val="20"/>
              </w:rPr>
              <w:t xml:space="preserve">Frontal Lesson, Dialogue Lesson, Group Work, Problem Analysis, Problem Solving, Cooperative Learning, </w:t>
            </w:r>
            <w:proofErr w:type="spellStart"/>
            <w:r w:rsidRPr="00E96715">
              <w:rPr>
                <w:sz w:val="20"/>
                <w:szCs w:val="20"/>
              </w:rPr>
              <w:t>Rôle</w:t>
            </w:r>
            <w:proofErr w:type="spellEnd"/>
            <w:r w:rsidRPr="00E96715">
              <w:rPr>
                <w:sz w:val="20"/>
                <w:szCs w:val="20"/>
              </w:rPr>
              <w:t xml:space="preserve"> Reversal Student-Teacher; an ad-hoc Education blog.</w:t>
            </w:r>
          </w:p>
        </w:tc>
      </w:tr>
      <w:tr w:rsidR="00F83E16" w14:paraId="659B9E5F" w14:textId="77777777">
        <w:trPr>
          <w:trHeight w:val="243"/>
        </w:trPr>
        <w:tc>
          <w:tcPr>
            <w:tcW w:w="2709" w:type="dxa"/>
            <w:gridSpan w:val="2"/>
            <w:shd w:val="clear" w:color="auto" w:fill="B1A0C6"/>
          </w:tcPr>
          <w:p w14:paraId="50B9F094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Expected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learning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</w:p>
        </w:tc>
        <w:tc>
          <w:tcPr>
            <w:tcW w:w="6735" w:type="dxa"/>
            <w:gridSpan w:val="3"/>
          </w:tcPr>
          <w:p w14:paraId="084F4F23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2C52ABFA" w14:textId="77777777">
        <w:trPr>
          <w:trHeight w:val="1016"/>
        </w:trPr>
        <w:tc>
          <w:tcPr>
            <w:tcW w:w="2709" w:type="dxa"/>
            <w:gridSpan w:val="2"/>
          </w:tcPr>
          <w:p w14:paraId="1E17863E" w14:textId="77777777" w:rsidR="00F83E16" w:rsidRDefault="0049451A">
            <w:pPr>
              <w:pStyle w:val="TableParagraph"/>
              <w:spacing w:before="3"/>
              <w:ind w:left="110" w:right="1056"/>
              <w:rPr>
                <w:b/>
                <w:sz w:val="20"/>
              </w:rPr>
            </w:pPr>
            <w:r>
              <w:rPr>
                <w:b/>
                <w:sz w:val="20"/>
              </w:rPr>
              <w:t>Knowledge and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6735" w:type="dxa"/>
            <w:gridSpan w:val="3"/>
          </w:tcPr>
          <w:p w14:paraId="7DD9C727" w14:textId="77777777" w:rsidR="0092306A" w:rsidRPr="00ED1F9F" w:rsidRDefault="0092306A" w:rsidP="0092306A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</w:pPr>
            <w:r w:rsidRPr="0092306A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 xml:space="preserve">Understanding. 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Listening: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S/he can understand extended speech and lectures and follow even complex lines of argument provided the topic is reasonably familiar.  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u w:val="single"/>
                <w:lang w:val="en-US"/>
              </w:rPr>
              <w:t>Reading:</w:t>
            </w:r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S/he can read articles and reports concerned with contemporary problems in which the writers adopt </w:t>
            </w:r>
            <w:proofErr w:type="gramStart"/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particular attitudes</w:t>
            </w:r>
            <w:proofErr w:type="gramEnd"/>
            <w:r w:rsidRPr="00D2239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viewpoints. </w:t>
            </w:r>
          </w:p>
          <w:p w14:paraId="37B816E2" w14:textId="605A28BD" w:rsidR="00F83E16" w:rsidRDefault="00F83E16" w:rsidP="0092306A">
            <w:pPr>
              <w:pStyle w:val="TableParagraph"/>
              <w:tabs>
                <w:tab w:val="left" w:pos="835"/>
              </w:tabs>
              <w:spacing w:before="4" w:line="230" w:lineRule="exact"/>
              <w:rPr>
                <w:sz w:val="20"/>
              </w:rPr>
            </w:pPr>
          </w:p>
        </w:tc>
      </w:tr>
      <w:tr w:rsidR="00F83E16" w14:paraId="61389E8F" w14:textId="77777777">
        <w:trPr>
          <w:trHeight w:val="761"/>
        </w:trPr>
        <w:tc>
          <w:tcPr>
            <w:tcW w:w="2709" w:type="dxa"/>
            <w:gridSpan w:val="2"/>
          </w:tcPr>
          <w:p w14:paraId="7A9C616B" w14:textId="77777777" w:rsidR="00F83E16" w:rsidRDefault="0049451A">
            <w:pPr>
              <w:pStyle w:val="TableParagraph"/>
              <w:spacing w:before="3"/>
              <w:ind w:left="110" w:right="535"/>
              <w:rPr>
                <w:b/>
                <w:sz w:val="20"/>
              </w:rPr>
            </w:pPr>
            <w:r>
              <w:rPr>
                <w:b/>
                <w:sz w:val="20"/>
              </w:rPr>
              <w:t>Applying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knowledge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understanding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on:</w:t>
            </w:r>
          </w:p>
        </w:tc>
        <w:tc>
          <w:tcPr>
            <w:tcW w:w="6735" w:type="dxa"/>
            <w:gridSpan w:val="3"/>
          </w:tcPr>
          <w:p w14:paraId="2736B2F7" w14:textId="6EEFFF69" w:rsidR="0092306A" w:rsidRPr="009F5BA9" w:rsidRDefault="0092306A" w:rsidP="0092306A">
            <w:pPr>
              <w:pStyle w:val="Nessunaspaziatura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S/he can understand most TV news and current affairs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programmes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S/he can understand </w:t>
            </w:r>
            <w:proofErr w:type="gramStart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majority of</w:t>
            </w:r>
            <w:proofErr w:type="gramEnd"/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films in standard dialect.  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S/he can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understand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contemporary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literary</w:t>
            </w:r>
            <w:proofErr w:type="spellEnd"/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prose.</w:t>
            </w:r>
          </w:p>
          <w:p w14:paraId="741EEB5F" w14:textId="7B0FC648" w:rsidR="00F83E16" w:rsidRDefault="00F83E16" w:rsidP="0092306A">
            <w:pPr>
              <w:pStyle w:val="TableParagraph"/>
              <w:tabs>
                <w:tab w:val="left" w:pos="835"/>
              </w:tabs>
              <w:spacing w:before="3" w:line="230" w:lineRule="exact"/>
              <w:rPr>
                <w:sz w:val="20"/>
              </w:rPr>
            </w:pPr>
          </w:p>
        </w:tc>
      </w:tr>
      <w:tr w:rsidR="00F83E16" w14:paraId="706CB5E4" w14:textId="77777777">
        <w:trPr>
          <w:trHeight w:val="1006"/>
        </w:trPr>
        <w:tc>
          <w:tcPr>
            <w:tcW w:w="2709" w:type="dxa"/>
            <w:gridSpan w:val="2"/>
          </w:tcPr>
          <w:p w14:paraId="5427C850" w14:textId="77777777" w:rsidR="00F83E16" w:rsidRDefault="0049451A">
            <w:pPr>
              <w:pStyle w:val="TableParagraph"/>
              <w:spacing w:before="3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Soft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skills</w:t>
            </w:r>
          </w:p>
        </w:tc>
        <w:tc>
          <w:tcPr>
            <w:tcW w:w="6735" w:type="dxa"/>
            <w:gridSpan w:val="3"/>
          </w:tcPr>
          <w:p w14:paraId="153C8247" w14:textId="77777777" w:rsidR="00F83E16" w:rsidRDefault="0049451A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  <w:tab w:val="left" w:pos="467"/>
              </w:tabs>
              <w:spacing w:line="265" w:lineRule="exact"/>
              <w:ind w:hanging="361"/>
              <w:rPr>
                <w:i/>
                <w:sz w:val="20"/>
              </w:rPr>
            </w:pPr>
            <w:r>
              <w:rPr>
                <w:i/>
                <w:sz w:val="20"/>
              </w:rPr>
              <w:t>Making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informed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judgments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choices</w:t>
            </w:r>
          </w:p>
          <w:p w14:paraId="11399030" w14:textId="77777777" w:rsidR="0092306A" w:rsidRPr="00D2239D" w:rsidRDefault="0092306A" w:rsidP="0092306A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306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S/he can interact with a degree of fluency and spontaneity that makes regular interaction with native speakers quite possible.  </w:t>
            </w:r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S/he can take an active part in discussion in familiar contexts, accounting for and sustaining his/her views</w:t>
            </w:r>
            <w:r w:rsidRPr="009F5BA9">
              <w:rPr>
                <w:rFonts w:asciiTheme="minorHAnsi" w:hAnsiTheme="minorHAnsi" w:cstheme="minorHAnsi"/>
                <w:bCs/>
                <w:sz w:val="20"/>
                <w:szCs w:val="20"/>
                <w:lang w:val="en-US"/>
              </w:rPr>
              <w:t xml:space="preserve">.  </w:t>
            </w:r>
          </w:p>
          <w:p w14:paraId="044F473E" w14:textId="4019AE0D" w:rsidR="00F83E16" w:rsidRDefault="00F83E16" w:rsidP="0092306A">
            <w:pPr>
              <w:pStyle w:val="TableParagraph"/>
              <w:tabs>
                <w:tab w:val="left" w:pos="835"/>
              </w:tabs>
              <w:spacing w:before="4" w:line="230" w:lineRule="exact"/>
              <w:rPr>
                <w:sz w:val="20"/>
              </w:rPr>
            </w:pPr>
          </w:p>
        </w:tc>
      </w:tr>
    </w:tbl>
    <w:p w14:paraId="158AD7A7" w14:textId="77777777" w:rsidR="00F83E16" w:rsidRDefault="00F83E16">
      <w:pPr>
        <w:spacing w:line="230" w:lineRule="exact"/>
        <w:rPr>
          <w:sz w:val="20"/>
        </w:rPr>
        <w:sectPr w:rsidR="00F83E16">
          <w:type w:val="continuous"/>
          <w:pgSz w:w="11910" w:h="16840"/>
          <w:pgMar w:top="80" w:right="700" w:bottom="280" w:left="700" w:header="720" w:footer="720" w:gutter="0"/>
          <w:cols w:space="720"/>
        </w:sectPr>
      </w:pPr>
    </w:p>
    <w:p w14:paraId="0A7FE3D5" w14:textId="77777777" w:rsidR="00F83E16" w:rsidRPr="0092306A" w:rsidRDefault="00F83E16">
      <w:pPr>
        <w:pStyle w:val="Corpotesto"/>
        <w:rPr>
          <w:sz w:val="20"/>
        </w:rPr>
      </w:pPr>
    </w:p>
    <w:p w14:paraId="675424C3" w14:textId="77777777" w:rsidR="00F83E16" w:rsidRPr="0092306A" w:rsidRDefault="00F83E16">
      <w:pPr>
        <w:pStyle w:val="Corpotesto"/>
        <w:rPr>
          <w:sz w:val="20"/>
        </w:rPr>
      </w:pPr>
    </w:p>
    <w:p w14:paraId="22134A7F" w14:textId="77777777" w:rsidR="00F83E16" w:rsidRPr="0092306A" w:rsidRDefault="00F83E16">
      <w:pPr>
        <w:pStyle w:val="Corpotesto"/>
        <w:rPr>
          <w:sz w:val="20"/>
        </w:rPr>
      </w:pPr>
    </w:p>
    <w:p w14:paraId="591DB510" w14:textId="77777777" w:rsidR="00F83E16" w:rsidRPr="0092306A" w:rsidRDefault="00F83E16">
      <w:pPr>
        <w:pStyle w:val="Corpotesto"/>
        <w:rPr>
          <w:sz w:val="20"/>
        </w:rPr>
      </w:pPr>
    </w:p>
    <w:p w14:paraId="63B8193A" w14:textId="77777777" w:rsidR="00F83E16" w:rsidRPr="0092306A" w:rsidRDefault="00F83E16">
      <w:pPr>
        <w:pStyle w:val="Corpotesto"/>
        <w:rPr>
          <w:sz w:val="20"/>
        </w:rPr>
      </w:pPr>
    </w:p>
    <w:p w14:paraId="28ACADEC" w14:textId="77777777" w:rsidR="00F83E16" w:rsidRPr="0092306A" w:rsidRDefault="00F83E16">
      <w:pPr>
        <w:pStyle w:val="Corpotesto"/>
        <w:spacing w:before="6"/>
        <w:rPr>
          <w:sz w:val="28"/>
        </w:r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6"/>
        <w:gridCol w:w="6738"/>
      </w:tblGrid>
      <w:tr w:rsidR="00F83E16" w14:paraId="4464CA27" w14:textId="77777777">
        <w:trPr>
          <w:trHeight w:val="1504"/>
        </w:trPr>
        <w:tc>
          <w:tcPr>
            <w:tcW w:w="2706" w:type="dxa"/>
          </w:tcPr>
          <w:p w14:paraId="03990723" w14:textId="77777777" w:rsidR="00F83E16" w:rsidRPr="0092306A" w:rsidRDefault="00F83E1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38" w:type="dxa"/>
          </w:tcPr>
          <w:p w14:paraId="2043F912" w14:textId="77777777" w:rsidR="00F83E16" w:rsidRDefault="0049451A" w:rsidP="009230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Communicating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knowledge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understanding</w:t>
            </w:r>
          </w:p>
          <w:p w14:paraId="4A022F6A" w14:textId="3F2E7C87" w:rsidR="0092306A" w:rsidRPr="00ED1F9F" w:rsidRDefault="0092306A" w:rsidP="0092306A">
            <w:pPr>
              <w:pStyle w:val="Nessunaspaziatura1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S/he can present clear, detailed descriptions on a wide range of subjects related to his/her field of interest. S/he can explain a viewpoint on a topical issue giving advantages and disadvantages of various options. </w:t>
            </w:r>
          </w:p>
          <w:p w14:paraId="0ED152E3" w14:textId="77777777" w:rsidR="00F83E16" w:rsidRDefault="0049451A" w:rsidP="0092306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  <w:tab w:val="left" w:pos="470"/>
              </w:tabs>
              <w:spacing w:line="27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Capacities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to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continue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learning</w:t>
            </w:r>
          </w:p>
          <w:p w14:paraId="14098AEF" w14:textId="77777777" w:rsidR="0092306A" w:rsidRPr="00D2239D" w:rsidRDefault="0092306A" w:rsidP="0092306A">
            <w:pPr>
              <w:widowControl/>
              <w:autoSpaceDE/>
              <w:autoSpaceDN/>
              <w:spacing w:line="270" w:lineRule="atLeas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>S/he can write clear, detailed text on a wide range of subjects related to my interests. S/he can write an essay and report, passing on information or giving reasons in support of or against a particular point of view. S/he can write letters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/e-mails</w:t>
            </w:r>
            <w:r w:rsidRPr="009F5BA9">
              <w:rPr>
                <w:rFonts w:asciiTheme="minorHAnsi" w:hAnsiTheme="minorHAnsi" w:cstheme="minorHAnsi"/>
                <w:sz w:val="20"/>
                <w:szCs w:val="20"/>
              </w:rPr>
              <w:t xml:space="preserve"> highlighting the personal significance of events and experiences.</w:t>
            </w:r>
          </w:p>
          <w:p w14:paraId="0F658325" w14:textId="483428AF" w:rsidR="00F83E16" w:rsidRDefault="00F83E16" w:rsidP="0092306A">
            <w:pPr>
              <w:pStyle w:val="TableParagraph"/>
              <w:tabs>
                <w:tab w:val="left" w:pos="838"/>
              </w:tabs>
              <w:spacing w:line="213" w:lineRule="exact"/>
              <w:rPr>
                <w:sz w:val="20"/>
              </w:rPr>
            </w:pPr>
          </w:p>
        </w:tc>
      </w:tr>
      <w:tr w:rsidR="00F83E16" w14:paraId="0B15108E" w14:textId="77777777">
        <w:trPr>
          <w:trHeight w:val="244"/>
        </w:trPr>
        <w:tc>
          <w:tcPr>
            <w:tcW w:w="9444" w:type="dxa"/>
            <w:gridSpan w:val="2"/>
            <w:tcBorders>
              <w:left w:val="nil"/>
              <w:right w:val="nil"/>
            </w:tcBorders>
          </w:tcPr>
          <w:p w14:paraId="69AC1E58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65D18B40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4228D15B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Assessment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feedback</w:t>
            </w:r>
          </w:p>
        </w:tc>
        <w:tc>
          <w:tcPr>
            <w:tcW w:w="6738" w:type="dxa"/>
          </w:tcPr>
          <w:p w14:paraId="32F46B9F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68ADA6F5" w14:textId="77777777">
        <w:trPr>
          <w:trHeight w:val="244"/>
        </w:trPr>
        <w:tc>
          <w:tcPr>
            <w:tcW w:w="2706" w:type="dxa"/>
          </w:tcPr>
          <w:p w14:paraId="32D803F2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Methods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</w:tc>
        <w:tc>
          <w:tcPr>
            <w:tcW w:w="6738" w:type="dxa"/>
          </w:tcPr>
          <w:p w14:paraId="241C31C2" w14:textId="66EBB32B" w:rsidR="00F83E16" w:rsidRDefault="0092306A">
            <w:pPr>
              <w:pStyle w:val="TableParagraph"/>
              <w:rPr>
                <w:rFonts w:ascii="Times New Roman"/>
                <w:sz w:val="16"/>
              </w:rPr>
            </w:pPr>
            <w:r w:rsidRPr="003D7706">
              <w:rPr>
                <w:rFonts w:asciiTheme="minorHAnsi" w:hAnsiTheme="minorHAnsi" w:cstheme="minorHAnsi"/>
                <w:sz w:val="20"/>
              </w:rPr>
              <w:t>The exam includes a written test and an interview that can be taken on the dates set in the exam calendar.</w:t>
            </w:r>
          </w:p>
        </w:tc>
      </w:tr>
      <w:tr w:rsidR="00F83E16" w14:paraId="4652AF14" w14:textId="77777777">
        <w:trPr>
          <w:trHeight w:val="2887"/>
        </w:trPr>
        <w:tc>
          <w:tcPr>
            <w:tcW w:w="2706" w:type="dxa"/>
          </w:tcPr>
          <w:p w14:paraId="68EAE9C8" w14:textId="77777777" w:rsidR="00F83E16" w:rsidRDefault="0049451A">
            <w:pPr>
              <w:pStyle w:val="TableParagraph"/>
              <w:spacing w:before="3"/>
              <w:ind w:left="110"/>
              <w:rPr>
                <w:sz w:val="20"/>
              </w:rPr>
            </w:pPr>
            <w:r>
              <w:rPr>
                <w:sz w:val="20"/>
              </w:rPr>
              <w:t>Evaluation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</w:p>
        </w:tc>
        <w:tc>
          <w:tcPr>
            <w:tcW w:w="6738" w:type="dxa"/>
          </w:tcPr>
          <w:p w14:paraId="712F801C" w14:textId="54591B51" w:rsidR="00F83E16" w:rsidRDefault="0092306A" w:rsidP="0092306A">
            <w:pPr>
              <w:pStyle w:val="TableParagraph"/>
              <w:spacing w:line="201" w:lineRule="exact"/>
              <w:jc w:val="both"/>
              <w:rPr>
                <w:rFonts w:ascii="Courier New"/>
                <w:sz w:val="20"/>
              </w:rPr>
            </w:pPr>
            <w:r w:rsidRPr="003D7706">
              <w:rPr>
                <w:rFonts w:asciiTheme="minorHAnsi" w:hAnsiTheme="minorHAnsi" w:cstheme="minorHAnsi"/>
                <w:sz w:val="20"/>
              </w:rPr>
              <w:t xml:space="preserve">The exam includes a written test, at the end of the laboratory, which aims to </w:t>
            </w:r>
            <w:r>
              <w:rPr>
                <w:rFonts w:asciiTheme="minorHAnsi" w:hAnsiTheme="minorHAnsi" w:cstheme="minorHAnsi"/>
                <w:sz w:val="20"/>
              </w:rPr>
              <w:t>assess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the level of </w:t>
            </w:r>
            <w:r>
              <w:rPr>
                <w:rFonts w:asciiTheme="minorHAnsi" w:hAnsiTheme="minorHAnsi" w:cstheme="minorHAnsi"/>
                <w:sz w:val="20"/>
              </w:rPr>
              <w:t>knowledge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of the contents and methods illustrated during the laboratory. Furthermore, th</w:t>
            </w:r>
            <w:r>
              <w:rPr>
                <w:rFonts w:asciiTheme="minorHAnsi" w:hAnsiTheme="minorHAnsi" w:cstheme="minorHAnsi"/>
                <w:sz w:val="20"/>
              </w:rPr>
              <w:t>e exam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is followed by an interview on topics that </w:t>
            </w:r>
            <w:r>
              <w:rPr>
                <w:rFonts w:asciiTheme="minorHAnsi" w:hAnsiTheme="minorHAnsi" w:cstheme="minorHAnsi"/>
                <w:sz w:val="20"/>
              </w:rPr>
              <w:t>have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not </w:t>
            </w:r>
            <w:r>
              <w:rPr>
                <w:rFonts w:asciiTheme="minorHAnsi" w:hAnsiTheme="minorHAnsi" w:cstheme="minorHAnsi"/>
                <w:sz w:val="20"/>
              </w:rPr>
              <w:t xml:space="preserve">been 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the </w:t>
            </w:r>
            <w:r>
              <w:rPr>
                <w:rFonts w:asciiTheme="minorHAnsi" w:hAnsiTheme="minorHAnsi" w:cstheme="minorHAnsi"/>
                <w:sz w:val="20"/>
              </w:rPr>
              <w:t>o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bject of the written </w:t>
            </w:r>
            <w:r w:rsidRPr="003D7706">
              <w:rPr>
                <w:rFonts w:asciiTheme="minorHAnsi" w:hAnsiTheme="minorHAnsi" w:cstheme="minorHAnsi"/>
                <w:sz w:val="20"/>
              </w:rPr>
              <w:t>test,</w:t>
            </w:r>
            <w:r w:rsidRPr="003D7706">
              <w:rPr>
                <w:rFonts w:asciiTheme="minorHAnsi" w:hAnsiTheme="minorHAnsi" w:cstheme="minorHAnsi"/>
                <w:sz w:val="20"/>
              </w:rPr>
              <w:t xml:space="preserve"> and which aims to evaluate the ability to present the contents orally and to reason critically on the lesson plan</w:t>
            </w:r>
            <w:r>
              <w:rPr>
                <w:rFonts w:asciiTheme="minorHAnsi" w:hAnsiTheme="minorHAnsi" w:cstheme="minorHAnsi"/>
                <w:sz w:val="20"/>
              </w:rPr>
              <w:t xml:space="preserve"> being ad-hoc conceived by each student</w:t>
            </w:r>
            <w:r w:rsidRPr="003D7706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  <w:tr w:rsidR="00F83E16" w14:paraId="336E5898" w14:textId="77777777">
        <w:trPr>
          <w:trHeight w:val="488"/>
        </w:trPr>
        <w:tc>
          <w:tcPr>
            <w:tcW w:w="2706" w:type="dxa"/>
          </w:tcPr>
          <w:p w14:paraId="6D13644F" w14:textId="77777777" w:rsidR="00F83E16" w:rsidRDefault="0049451A">
            <w:pPr>
              <w:pStyle w:val="TableParagraph"/>
              <w:spacing w:line="240" w:lineRule="atLeast"/>
              <w:ind w:left="110" w:right="328"/>
              <w:rPr>
                <w:sz w:val="20"/>
              </w:rPr>
            </w:pPr>
            <w:r>
              <w:rPr>
                <w:sz w:val="20"/>
              </w:rPr>
              <w:t>Criteria for assessment and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attribution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mark</w:t>
            </w:r>
          </w:p>
        </w:tc>
        <w:tc>
          <w:tcPr>
            <w:tcW w:w="6738" w:type="dxa"/>
          </w:tcPr>
          <w:p w14:paraId="1BFC26EF" w14:textId="4D66EE91" w:rsidR="00F83E16" w:rsidRDefault="0092306A" w:rsidP="0092306A">
            <w:pPr>
              <w:pStyle w:val="TableParagraph"/>
              <w:jc w:val="both"/>
              <w:rPr>
                <w:rFonts w:ascii="Times New Roman"/>
                <w:sz w:val="20"/>
              </w:rPr>
            </w:pPr>
            <w:r w:rsidRPr="008E1BC7">
              <w:rPr>
                <w:rFonts w:asciiTheme="minorHAnsi" w:hAnsiTheme="minorHAnsi" w:cstheme="minorHAnsi"/>
                <w:sz w:val="20"/>
              </w:rPr>
              <w:t xml:space="preserve">Theoretical-practical references </w:t>
            </w:r>
            <w:r>
              <w:rPr>
                <w:rFonts w:asciiTheme="minorHAnsi" w:hAnsiTheme="minorHAnsi" w:cstheme="minorHAnsi"/>
                <w:sz w:val="20"/>
              </w:rPr>
              <w:t xml:space="preserve">to the Literature in the field of TEYLs </w:t>
            </w:r>
            <w:r w:rsidRPr="008E1BC7">
              <w:rPr>
                <w:rFonts w:asciiTheme="minorHAnsi" w:hAnsiTheme="minorHAnsi" w:cstheme="minorHAnsi"/>
                <w:sz w:val="20"/>
              </w:rPr>
              <w:t xml:space="preserve">and appropriate use of </w:t>
            </w:r>
            <w:r>
              <w:rPr>
                <w:rFonts w:asciiTheme="minorHAnsi" w:hAnsiTheme="minorHAnsi" w:cstheme="minorHAnsi"/>
                <w:sz w:val="20"/>
              </w:rPr>
              <w:t>A</w:t>
            </w:r>
            <w:r w:rsidRPr="008E1BC7">
              <w:rPr>
                <w:rFonts w:asciiTheme="minorHAnsi" w:hAnsiTheme="minorHAnsi" w:cstheme="minorHAnsi"/>
                <w:sz w:val="20"/>
              </w:rPr>
              <w:t>cademic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E1BC7">
              <w:rPr>
                <w:rFonts w:asciiTheme="minorHAnsi" w:hAnsiTheme="minorHAnsi" w:cstheme="minorHAnsi"/>
                <w:sz w:val="20"/>
              </w:rPr>
              <w:t>English</w:t>
            </w:r>
          </w:p>
        </w:tc>
      </w:tr>
      <w:tr w:rsidR="00F83E16" w14:paraId="0E225024" w14:textId="77777777">
        <w:trPr>
          <w:trHeight w:val="243"/>
        </w:trPr>
        <w:tc>
          <w:tcPr>
            <w:tcW w:w="2706" w:type="dxa"/>
            <w:shd w:val="clear" w:color="auto" w:fill="B1A0C6"/>
          </w:tcPr>
          <w:p w14:paraId="2B499AC8" w14:textId="77777777" w:rsidR="00F83E16" w:rsidRDefault="0049451A">
            <w:pPr>
              <w:pStyle w:val="TableParagraph"/>
              <w:spacing w:before="3" w:line="22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information</w:t>
            </w:r>
          </w:p>
        </w:tc>
        <w:tc>
          <w:tcPr>
            <w:tcW w:w="6738" w:type="dxa"/>
          </w:tcPr>
          <w:p w14:paraId="41C3C326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3E16" w14:paraId="5547AEBD" w14:textId="77777777">
        <w:trPr>
          <w:trHeight w:val="243"/>
        </w:trPr>
        <w:tc>
          <w:tcPr>
            <w:tcW w:w="2706" w:type="dxa"/>
          </w:tcPr>
          <w:p w14:paraId="5569258E" w14:textId="77777777" w:rsidR="00F83E16" w:rsidRDefault="00F83E1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8" w:type="dxa"/>
          </w:tcPr>
          <w:p w14:paraId="3DD2A66E" w14:textId="1B56B3AF" w:rsidR="00F83E16" w:rsidRDefault="0092306A" w:rsidP="0092306A">
            <w:pPr>
              <w:pStyle w:val="TableParagraph"/>
              <w:jc w:val="both"/>
              <w:rPr>
                <w:rFonts w:ascii="Times New Roman"/>
                <w:sz w:val="16"/>
              </w:rPr>
            </w:pPr>
            <w:r w:rsidRPr="00797CF5">
              <w:rPr>
                <w:sz w:val="20"/>
                <w:szCs w:val="20"/>
              </w:rPr>
              <w:t xml:space="preserve">Mid-term tests conceived </w:t>
            </w:r>
            <w:proofErr w:type="gramStart"/>
            <w:r w:rsidRPr="00797CF5">
              <w:rPr>
                <w:sz w:val="20"/>
                <w:szCs w:val="20"/>
              </w:rPr>
              <w:t>in order to</w:t>
            </w:r>
            <w:proofErr w:type="gramEnd"/>
            <w:r w:rsidRPr="00797CF5">
              <w:rPr>
                <w:sz w:val="20"/>
                <w:szCs w:val="20"/>
              </w:rPr>
              <w:t xml:space="preserve"> improve writing, listening and communicative skills.</w:t>
            </w:r>
          </w:p>
        </w:tc>
      </w:tr>
    </w:tbl>
    <w:p w14:paraId="3A076E43" w14:textId="77777777" w:rsidR="0049451A" w:rsidRDefault="0049451A"/>
    <w:sectPr w:rsidR="0049451A">
      <w:pgSz w:w="11910" w:h="16840"/>
      <w:pgMar w:top="760" w:right="7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79A"/>
    <w:multiLevelType w:val="multilevel"/>
    <w:tmpl w:val="9314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40614"/>
    <w:multiLevelType w:val="hybridMultilevel"/>
    <w:tmpl w:val="9C34E848"/>
    <w:lvl w:ilvl="0" w:tplc="A4B2D332">
      <w:numFmt w:val="bullet"/>
      <w:lvlText w:val="•"/>
      <w:lvlJc w:val="left"/>
      <w:pPr>
        <w:ind w:left="470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C91EFE5A">
      <w:numFmt w:val="bullet"/>
      <w:lvlText w:val="o"/>
      <w:lvlJc w:val="left"/>
      <w:pPr>
        <w:ind w:left="838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6A56EDDC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 w:tplc="A6464ED4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841A802E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DCAE91E0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C42ED358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7" w:tplc="5BE00AB0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8" w:tplc="3DAEC1A6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2D7784"/>
    <w:multiLevelType w:val="hybridMultilevel"/>
    <w:tmpl w:val="9B3AABF6"/>
    <w:lvl w:ilvl="0" w:tplc="A806A1DC">
      <w:numFmt w:val="bullet"/>
      <w:lvlText w:val="•"/>
      <w:lvlJc w:val="left"/>
      <w:pPr>
        <w:ind w:left="467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ED186C5E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C2D6130E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3" w:tplc="8682BC2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4" w:tplc="8C7010DA"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5" w:tplc="F1226E4C">
      <w:numFmt w:val="bullet"/>
      <w:lvlText w:val="•"/>
      <w:lvlJc w:val="left"/>
      <w:pPr>
        <w:ind w:left="3455" w:hanging="360"/>
      </w:pPr>
      <w:rPr>
        <w:rFonts w:hint="default"/>
        <w:lang w:val="en-US" w:eastAsia="en-US" w:bidi="ar-SA"/>
      </w:rPr>
    </w:lvl>
    <w:lvl w:ilvl="6" w:tplc="D8B8B6E4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7" w:tplc="CE320550">
      <w:numFmt w:val="bullet"/>
      <w:lvlText w:val="•"/>
      <w:lvlJc w:val="left"/>
      <w:pPr>
        <w:ind w:left="4763" w:hanging="360"/>
      </w:pPr>
      <w:rPr>
        <w:rFonts w:hint="default"/>
        <w:lang w:val="en-US" w:eastAsia="en-US" w:bidi="ar-SA"/>
      </w:rPr>
    </w:lvl>
    <w:lvl w:ilvl="8" w:tplc="48EC1CDE">
      <w:numFmt w:val="bullet"/>
      <w:lvlText w:val="•"/>
      <w:lvlJc w:val="left"/>
      <w:pPr>
        <w:ind w:left="541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4BD30CD"/>
    <w:multiLevelType w:val="hybridMultilevel"/>
    <w:tmpl w:val="E386337C"/>
    <w:lvl w:ilvl="0" w:tplc="7E2499C4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77CE91F0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142E703C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24C4FA8A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43DE2A28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5" w:tplc="B468850C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 w:tplc="A9EA2652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7" w:tplc="7DCC5AAA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8" w:tplc="C1E8565E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084049F"/>
    <w:multiLevelType w:val="hybridMultilevel"/>
    <w:tmpl w:val="F73EC022"/>
    <w:lvl w:ilvl="0" w:tplc="58285A8C">
      <w:numFmt w:val="bullet"/>
      <w:lvlText w:val="•"/>
      <w:lvlJc w:val="left"/>
      <w:pPr>
        <w:ind w:left="532" w:hanging="360"/>
      </w:pPr>
      <w:rPr>
        <w:rFonts w:ascii="Lucida Sans Unicode" w:eastAsia="Lucida Sans Unicode" w:hAnsi="Lucida Sans Unicode" w:cs="Lucida Sans Unicode" w:hint="default"/>
        <w:w w:val="65"/>
        <w:sz w:val="20"/>
        <w:szCs w:val="20"/>
        <w:lang w:val="en-US" w:eastAsia="en-US" w:bidi="ar-SA"/>
      </w:rPr>
    </w:lvl>
    <w:lvl w:ilvl="1" w:tplc="45EE44F4">
      <w:numFmt w:val="bullet"/>
      <w:lvlText w:val="o"/>
      <w:lvlJc w:val="left"/>
      <w:pPr>
        <w:ind w:left="838" w:hanging="360"/>
      </w:pPr>
      <w:rPr>
        <w:rFonts w:hint="default"/>
        <w:w w:val="100"/>
        <w:lang w:val="en-US" w:eastAsia="en-US" w:bidi="ar-SA"/>
      </w:rPr>
    </w:lvl>
    <w:lvl w:ilvl="2" w:tplc="93EC3FAE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3" w:tplc="4D648D16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4" w:tplc="E56CFD72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5" w:tplc="AF4EEF88">
      <w:numFmt w:val="bullet"/>
      <w:lvlText w:val="•"/>
      <w:lvlJc w:val="left"/>
      <w:pPr>
        <w:ind w:left="3456" w:hanging="360"/>
      </w:pPr>
      <w:rPr>
        <w:rFonts w:hint="default"/>
        <w:lang w:val="en-US" w:eastAsia="en-US" w:bidi="ar-SA"/>
      </w:rPr>
    </w:lvl>
    <w:lvl w:ilvl="6" w:tplc="B6508BA6">
      <w:numFmt w:val="bullet"/>
      <w:lvlText w:val="•"/>
      <w:lvlJc w:val="left"/>
      <w:pPr>
        <w:ind w:left="4111" w:hanging="360"/>
      </w:pPr>
      <w:rPr>
        <w:rFonts w:hint="default"/>
        <w:lang w:val="en-US" w:eastAsia="en-US" w:bidi="ar-SA"/>
      </w:rPr>
    </w:lvl>
    <w:lvl w:ilvl="7" w:tplc="C2AE268A">
      <w:numFmt w:val="bullet"/>
      <w:lvlText w:val="•"/>
      <w:lvlJc w:val="left"/>
      <w:pPr>
        <w:ind w:left="4765" w:hanging="360"/>
      </w:pPr>
      <w:rPr>
        <w:rFonts w:hint="default"/>
        <w:lang w:val="en-US" w:eastAsia="en-US" w:bidi="ar-SA"/>
      </w:rPr>
    </w:lvl>
    <w:lvl w:ilvl="8" w:tplc="CE10DB08">
      <w:numFmt w:val="bullet"/>
      <w:lvlText w:val="•"/>
      <w:lvlJc w:val="left"/>
      <w:pPr>
        <w:ind w:left="541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E0B5E04"/>
    <w:multiLevelType w:val="hybridMultilevel"/>
    <w:tmpl w:val="30DE14C2"/>
    <w:lvl w:ilvl="0" w:tplc="B204EA3A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1" w:tplc="6494EA48">
      <w:numFmt w:val="bullet"/>
      <w:lvlText w:val="•"/>
      <w:lvlJc w:val="left"/>
      <w:pPr>
        <w:ind w:left="1428" w:hanging="360"/>
      </w:pPr>
      <w:rPr>
        <w:rFonts w:hint="default"/>
        <w:lang w:val="en-US" w:eastAsia="en-US" w:bidi="ar-SA"/>
      </w:rPr>
    </w:lvl>
    <w:lvl w:ilvl="2" w:tplc="948C52E0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C07E1A46">
      <w:numFmt w:val="bullet"/>
      <w:lvlText w:val="•"/>
      <w:lvlJc w:val="left"/>
      <w:pPr>
        <w:ind w:left="2605" w:hanging="360"/>
      </w:pPr>
      <w:rPr>
        <w:rFonts w:hint="default"/>
        <w:lang w:val="en-US" w:eastAsia="en-US" w:bidi="ar-SA"/>
      </w:rPr>
    </w:lvl>
    <w:lvl w:ilvl="4" w:tplc="3536A3E2">
      <w:numFmt w:val="bullet"/>
      <w:lvlText w:val="•"/>
      <w:lvlJc w:val="left"/>
      <w:pPr>
        <w:ind w:left="3194" w:hanging="360"/>
      </w:pPr>
      <w:rPr>
        <w:rFonts w:hint="default"/>
        <w:lang w:val="en-US" w:eastAsia="en-US" w:bidi="ar-SA"/>
      </w:rPr>
    </w:lvl>
    <w:lvl w:ilvl="5" w:tplc="933E4920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6" w:tplc="B7F481B6">
      <w:numFmt w:val="bullet"/>
      <w:lvlText w:val="•"/>
      <w:lvlJc w:val="left"/>
      <w:pPr>
        <w:ind w:left="4371" w:hanging="360"/>
      </w:pPr>
      <w:rPr>
        <w:rFonts w:hint="default"/>
        <w:lang w:val="en-US" w:eastAsia="en-US" w:bidi="ar-SA"/>
      </w:rPr>
    </w:lvl>
    <w:lvl w:ilvl="7" w:tplc="A9F22002">
      <w:numFmt w:val="bullet"/>
      <w:lvlText w:val="•"/>
      <w:lvlJc w:val="left"/>
      <w:pPr>
        <w:ind w:left="4959" w:hanging="360"/>
      </w:pPr>
      <w:rPr>
        <w:rFonts w:hint="default"/>
        <w:lang w:val="en-US" w:eastAsia="en-US" w:bidi="ar-SA"/>
      </w:rPr>
    </w:lvl>
    <w:lvl w:ilvl="8" w:tplc="4E44D62A">
      <w:numFmt w:val="bullet"/>
      <w:lvlText w:val="•"/>
      <w:lvlJc w:val="left"/>
      <w:pPr>
        <w:ind w:left="5548" w:hanging="360"/>
      </w:pPr>
      <w:rPr>
        <w:rFonts w:hint="default"/>
        <w:lang w:val="en-US" w:eastAsia="en-US" w:bidi="ar-SA"/>
      </w:rPr>
    </w:lvl>
  </w:abstractNum>
  <w:num w:numId="1" w16cid:durableId="1012296280">
    <w:abstractNumId w:val="4"/>
  </w:num>
  <w:num w:numId="2" w16cid:durableId="1206134707">
    <w:abstractNumId w:val="1"/>
  </w:num>
  <w:num w:numId="3" w16cid:durableId="466972326">
    <w:abstractNumId w:val="2"/>
  </w:num>
  <w:num w:numId="4" w16cid:durableId="1865895673">
    <w:abstractNumId w:val="5"/>
  </w:num>
  <w:num w:numId="5" w16cid:durableId="1918250901">
    <w:abstractNumId w:val="3"/>
  </w:num>
  <w:num w:numId="6" w16cid:durableId="981158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16"/>
    <w:rsid w:val="002263DE"/>
    <w:rsid w:val="00364003"/>
    <w:rsid w:val="0049451A"/>
    <w:rsid w:val="0075298A"/>
    <w:rsid w:val="007A618F"/>
    <w:rsid w:val="00917120"/>
    <w:rsid w:val="0092306A"/>
    <w:rsid w:val="00BC2A10"/>
    <w:rsid w:val="00EC3651"/>
    <w:rsid w:val="00F8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93440"/>
  <w15:docId w15:val="{2D2E0757-E0B2-9C44-9D73-4C89A09F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1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120"/>
    <w:rPr>
      <w:rFonts w:ascii="Tahoma" w:eastAsia="Calibri" w:hAnsi="Tahoma" w:cs="Tahoma"/>
      <w:sz w:val="16"/>
      <w:szCs w:val="16"/>
    </w:rPr>
  </w:style>
  <w:style w:type="character" w:customStyle="1" w:styleId="normaltextrun">
    <w:name w:val="normaltextrun"/>
    <w:basedOn w:val="Carpredefinitoparagrafo"/>
    <w:rsid w:val="0075298A"/>
  </w:style>
  <w:style w:type="character" w:styleId="Collegamentoipertestuale">
    <w:name w:val="Hyperlink"/>
    <w:basedOn w:val="Carpredefinitoparagrafo"/>
    <w:uiPriority w:val="99"/>
    <w:unhideWhenUsed/>
    <w:rsid w:val="00BC2A10"/>
    <w:rPr>
      <w:color w:val="0000FF"/>
      <w:u w:val="single"/>
    </w:rPr>
  </w:style>
  <w:style w:type="paragraph" w:customStyle="1" w:styleId="Nessunaspaziatura1">
    <w:name w:val="Nessuna spaziatura1"/>
    <w:rsid w:val="0092306A"/>
    <w:pPr>
      <w:widowControl/>
      <w:autoSpaceDE/>
      <w:autoSpaceDN/>
    </w:pPr>
    <w:rPr>
      <w:rFonts w:ascii="Calibri" w:eastAsia="MS ??" w:hAnsi="Calibri" w:cs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ystefl2.uni.lodz.pl/?page_id=10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08057147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lksdlkfcsckms</vt:lpstr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lksdlkfcsckms</dc:title>
  <dc:creator>o</dc:creator>
  <cp:lastModifiedBy>RBM</cp:lastModifiedBy>
  <cp:revision>2</cp:revision>
  <dcterms:created xsi:type="dcterms:W3CDTF">2022-06-30T15:08:00Z</dcterms:created>
  <dcterms:modified xsi:type="dcterms:W3CDTF">2022-06-30T15:08:00Z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2021-07-29T00:00:00Z</vt:filetime>
  </property>
</Properties>
</file>