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EB95" w14:textId="77777777" w:rsidR="00785EE9" w:rsidRPr="00785EE9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</w:p>
    <w:p w14:paraId="1453748B" w14:textId="4EA4ED7C" w:rsidR="00785EE9" w:rsidRPr="00785EE9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 xml:space="preserve">CORSO DI STUDIO </w:t>
      </w:r>
      <w:r w:rsidR="00AB60E1">
        <w:rPr>
          <w:rFonts w:ascii="Calibri" w:eastAsia="MS ??" w:hAnsi="Calibri" w:cs="Calibri"/>
          <w:i/>
          <w:color w:val="2E74B5"/>
          <w:sz w:val="28"/>
          <w:szCs w:val="28"/>
        </w:rPr>
        <w:t xml:space="preserve">corso di laurea </w:t>
      </w:r>
      <w:r w:rsidR="00CB1DAD">
        <w:rPr>
          <w:rFonts w:ascii="Calibri" w:eastAsia="MS ??" w:hAnsi="Calibri" w:cs="Calibri"/>
          <w:i/>
          <w:color w:val="2E74B5"/>
          <w:sz w:val="28"/>
          <w:szCs w:val="28"/>
        </w:rPr>
        <w:t>magistrale in archeologia (LM-2</w:t>
      </w:r>
      <w:r w:rsidR="00CB1DAD" w:rsidRPr="00785EE9">
        <w:rPr>
          <w:rFonts w:ascii="Calibri" w:eastAsia="MS ??" w:hAnsi="Calibri" w:cs="Calibri"/>
          <w:i/>
          <w:color w:val="2E74B5"/>
          <w:sz w:val="28"/>
          <w:szCs w:val="28"/>
        </w:rPr>
        <w:t>)</w:t>
      </w:r>
    </w:p>
    <w:p w14:paraId="60AAC1ED" w14:textId="4937F244" w:rsidR="00785EE9" w:rsidRPr="00785EE9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</w:rPr>
      </w:pPr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 xml:space="preserve">ANNO ACCADEMICO </w:t>
      </w:r>
      <w:r w:rsidRPr="00785EE9">
        <w:rPr>
          <w:rFonts w:ascii="Calibri" w:eastAsia="MS ??" w:hAnsi="Calibri" w:cs="Calibri"/>
          <w:i/>
          <w:color w:val="2E74B5"/>
          <w:sz w:val="28"/>
          <w:szCs w:val="28"/>
        </w:rPr>
        <w:t xml:space="preserve">2023-2024 </w:t>
      </w:r>
    </w:p>
    <w:p w14:paraId="1F2A9A58" w14:textId="7715232F" w:rsidR="00785EE9" w:rsidRPr="00D85976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</w:rPr>
      </w:pPr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 xml:space="preserve">DENOMINAZIONE DELL’INSEGNAMENTO </w:t>
      </w:r>
      <w:r w:rsidR="00DC5BCC" w:rsidRPr="00DC5BCC">
        <w:rPr>
          <w:rFonts w:ascii="Calibri" w:eastAsia="MS ??" w:hAnsi="Calibri" w:cs="Calibri"/>
          <w:i/>
          <w:color w:val="2E74B5"/>
          <w:sz w:val="28"/>
          <w:szCs w:val="28"/>
        </w:rPr>
        <w:t>Attività di archeologia del contemporaneo sul campo e in laboratorio – campo PG65 di Altamura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7"/>
        <w:gridCol w:w="1281"/>
        <w:gridCol w:w="705"/>
        <w:gridCol w:w="1856"/>
        <w:gridCol w:w="2119"/>
        <w:gridCol w:w="927"/>
        <w:gridCol w:w="794"/>
      </w:tblGrid>
      <w:tr w:rsidR="00785EE9" w:rsidRPr="00785EE9" w14:paraId="2092631A" w14:textId="77777777" w:rsidTr="00565BB5">
        <w:tc>
          <w:tcPr>
            <w:tcW w:w="5000" w:type="pct"/>
            <w:gridSpan w:val="7"/>
            <w:shd w:val="clear" w:color="auto" w:fill="B2A1C7"/>
          </w:tcPr>
          <w:p w14:paraId="406FEAE0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Principali informazioni sull’insegnamento</w:t>
            </w:r>
          </w:p>
        </w:tc>
      </w:tr>
      <w:tr w:rsidR="00785EE9" w:rsidRPr="00785EE9" w14:paraId="39730A4D" w14:textId="77777777" w:rsidTr="00565BB5">
        <w:tc>
          <w:tcPr>
            <w:tcW w:w="1486" w:type="pct"/>
            <w:gridSpan w:val="2"/>
          </w:tcPr>
          <w:p w14:paraId="2AF09A1D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6B5510D1" w14:textId="60742BCD" w:rsidR="00785EE9" w:rsidRPr="0060546C" w:rsidRDefault="00AB60E1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proofErr w:type="gramStart"/>
            <w:r w:rsidRPr="0060546C">
              <w:rPr>
                <w:rFonts w:ascii="Calibri" w:eastAsia="MS ??" w:hAnsi="Calibri" w:cs="Cambria"/>
                <w:sz w:val="20"/>
              </w:rPr>
              <w:t>II</w:t>
            </w:r>
            <w:proofErr w:type="gramEnd"/>
            <w:r w:rsidRPr="0060546C">
              <w:rPr>
                <w:rFonts w:ascii="Calibri" w:eastAsia="MS ??" w:hAnsi="Calibri" w:cs="Cambria"/>
                <w:sz w:val="20"/>
              </w:rPr>
              <w:t xml:space="preserve"> anno</w:t>
            </w:r>
          </w:p>
        </w:tc>
      </w:tr>
      <w:tr w:rsidR="00785EE9" w:rsidRPr="00785EE9" w14:paraId="6AC477A7" w14:textId="77777777" w:rsidTr="00565BB5">
        <w:tc>
          <w:tcPr>
            <w:tcW w:w="1486" w:type="pct"/>
            <w:gridSpan w:val="2"/>
          </w:tcPr>
          <w:p w14:paraId="0D5F06DD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11970C6D" w14:textId="0BA159B7" w:rsidR="00785EE9" w:rsidRPr="0060546C" w:rsidRDefault="00AF3B78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>
              <w:rPr>
                <w:rFonts w:ascii="Calibri" w:eastAsia="MS ??" w:hAnsi="Calibri" w:cs="Cambria"/>
                <w:sz w:val="20"/>
              </w:rPr>
              <w:t>Ottobre-novembre 2023</w:t>
            </w:r>
          </w:p>
        </w:tc>
      </w:tr>
      <w:tr w:rsidR="00785EE9" w:rsidRPr="00785EE9" w14:paraId="3F90BF42" w14:textId="77777777" w:rsidTr="00565BB5">
        <w:tc>
          <w:tcPr>
            <w:tcW w:w="1486" w:type="pct"/>
            <w:gridSpan w:val="2"/>
          </w:tcPr>
          <w:p w14:paraId="0E2F3B81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450A84AD" w14:textId="04D70074" w:rsidR="00785EE9" w:rsidRPr="0060546C" w:rsidRDefault="00C228A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>
              <w:rPr>
                <w:rFonts w:ascii="Calibri" w:eastAsia="MS ??" w:hAnsi="Calibri" w:cs="Cambria"/>
                <w:sz w:val="20"/>
              </w:rPr>
              <w:t>3</w:t>
            </w:r>
          </w:p>
        </w:tc>
      </w:tr>
      <w:tr w:rsidR="00785EE9" w:rsidRPr="00785EE9" w14:paraId="0E197D69" w14:textId="77777777" w:rsidTr="00565BB5">
        <w:tc>
          <w:tcPr>
            <w:tcW w:w="1486" w:type="pct"/>
            <w:gridSpan w:val="2"/>
          </w:tcPr>
          <w:p w14:paraId="2F061BB9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SSD</w:t>
            </w:r>
          </w:p>
        </w:tc>
        <w:tc>
          <w:tcPr>
            <w:tcW w:w="3514" w:type="pct"/>
            <w:gridSpan w:val="5"/>
          </w:tcPr>
          <w:p w14:paraId="18624C65" w14:textId="7640AA4D" w:rsidR="00785EE9" w:rsidRPr="0060546C" w:rsidRDefault="00AB60E1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L-ANT/10</w:t>
            </w:r>
          </w:p>
        </w:tc>
      </w:tr>
      <w:tr w:rsidR="00785EE9" w:rsidRPr="00785EE9" w14:paraId="0A060CDC" w14:textId="77777777" w:rsidTr="00565BB5">
        <w:tc>
          <w:tcPr>
            <w:tcW w:w="1486" w:type="pct"/>
            <w:gridSpan w:val="2"/>
          </w:tcPr>
          <w:p w14:paraId="02ECD9E6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536FFB3C" w14:textId="5C63238B" w:rsidR="00785EE9" w:rsidRPr="0060546C" w:rsidRDefault="00AB60E1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italiano</w:t>
            </w:r>
          </w:p>
        </w:tc>
      </w:tr>
      <w:tr w:rsidR="00785EE9" w:rsidRPr="00785EE9" w14:paraId="2A02B20C" w14:textId="77777777" w:rsidTr="00565BB5">
        <w:tc>
          <w:tcPr>
            <w:tcW w:w="1486" w:type="pct"/>
            <w:gridSpan w:val="2"/>
          </w:tcPr>
          <w:p w14:paraId="25281928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0E59E714" w14:textId="4ABC1CD9" w:rsidR="00785EE9" w:rsidRPr="0060546C" w:rsidRDefault="00496F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496FE9">
              <w:rPr>
                <w:rFonts w:ascii="Calibri" w:eastAsia="MS ??" w:hAnsi="Calibri" w:cs="Cambria"/>
                <w:sz w:val="20"/>
              </w:rPr>
              <w:t>Lo svolgimento dell’attività sul campo curriculare prevede necessariamente 3 settimane consecutive di attività (sul campo e in laboratorio), in coerenza con il regolamento in vigore (art. 7</w:t>
            </w:r>
            <w:r w:rsidR="00AD6A99">
              <w:rPr>
                <w:rFonts w:ascii="Calibri" w:eastAsia="MS ??" w:hAnsi="Calibri" w:cs="Cambria"/>
                <w:sz w:val="20"/>
              </w:rPr>
              <w:t>)</w:t>
            </w:r>
            <w:r w:rsidRPr="00496FE9">
              <w:rPr>
                <w:rFonts w:ascii="Calibri" w:eastAsia="MS ??" w:hAnsi="Calibri" w:cs="Cambria"/>
                <w:sz w:val="20"/>
              </w:rPr>
              <w:t>; link: w3.uniba.it/corsi/archeologia/presentazione-del-corso/R.D.ARCHEOLOGIAA.A.20222023.pdf)</w:t>
            </w:r>
          </w:p>
        </w:tc>
      </w:tr>
      <w:tr w:rsidR="00785EE9" w:rsidRPr="00785EE9" w14:paraId="1CD9A743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550A6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3C56C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785EE9" w:rsidRPr="00785EE9" w14:paraId="0CEC39A9" w14:textId="77777777" w:rsidTr="00565BB5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4F285D0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704598C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785EE9" w:rsidRPr="00785EE9" w14:paraId="18659F4A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D6CCE27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22D8C21" w14:textId="6303D00E" w:rsidR="00785EE9" w:rsidRPr="0060546C" w:rsidRDefault="00643688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Giuliano De Felice</w:t>
            </w:r>
          </w:p>
        </w:tc>
      </w:tr>
      <w:tr w:rsidR="00785EE9" w:rsidRPr="00785EE9" w14:paraId="07076BA1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D9C906F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A5DAECB" w14:textId="673E8DD6" w:rsidR="00785EE9" w:rsidRPr="0060546C" w:rsidRDefault="00643688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giuliano.defelice@uniba.it</w:t>
            </w:r>
          </w:p>
        </w:tc>
      </w:tr>
      <w:tr w:rsidR="00785EE9" w:rsidRPr="00785EE9" w14:paraId="78031A56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2B8B6B6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34638F0" w14:textId="342FA3FE" w:rsidR="00785EE9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3204394589</w:t>
            </w:r>
            <w:r w:rsidR="001C6B74" w:rsidRPr="0060546C">
              <w:rPr>
                <w:rFonts w:ascii="Calibri" w:eastAsia="MS ??" w:hAnsi="Calibri" w:cs="Cambria"/>
                <w:sz w:val="20"/>
              </w:rPr>
              <w:t xml:space="preserve"> </w:t>
            </w:r>
          </w:p>
        </w:tc>
      </w:tr>
      <w:tr w:rsidR="00785EE9" w:rsidRPr="00785EE9" w14:paraId="44A7D8BC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2A165C90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6E9DBF3" w14:textId="1596A23A" w:rsidR="00785EE9" w:rsidRPr="0060546C" w:rsidRDefault="00C25AED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Plesso Santa Teresa dei Maschi, Strada Torretta (città vecchia)</w:t>
            </w:r>
          </w:p>
        </w:tc>
      </w:tr>
      <w:tr w:rsidR="00785EE9" w:rsidRPr="00785EE9" w14:paraId="2B794A65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6328DDE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C797B3B" w14:textId="1EE4601A" w:rsidR="00785EE9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Piattaforma Teams (codice 8pu1jke)</w:t>
            </w:r>
          </w:p>
        </w:tc>
      </w:tr>
      <w:tr w:rsidR="00596AD6" w:rsidRPr="00785EE9" w14:paraId="616951C2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727D4DD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7E1E09C2" w14:textId="633E691A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Dal lunedì al giovedì, su appuntamento da concordare via mail</w:t>
            </w:r>
          </w:p>
        </w:tc>
      </w:tr>
      <w:tr w:rsidR="00596AD6" w:rsidRPr="00785EE9" w14:paraId="56FB437B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26A1A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D2D21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921FA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96F9B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596AD6" w:rsidRPr="00785EE9" w14:paraId="1C18CED4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058AC0A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4CCB3C1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color w:val="FF0000"/>
                <w:sz w:val="20"/>
              </w:rPr>
            </w:pPr>
          </w:p>
        </w:tc>
      </w:tr>
      <w:tr w:rsidR="00596AD6" w:rsidRPr="00785EE9" w14:paraId="29B1DAE4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7EC36976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Ore</w:t>
            </w:r>
          </w:p>
        </w:tc>
      </w:tr>
      <w:tr w:rsidR="00596AD6" w:rsidRPr="00785EE9" w14:paraId="0E91F8E5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27271C98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80BCCD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D7C62F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DADE60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Studio individuale</w:t>
            </w:r>
          </w:p>
        </w:tc>
      </w:tr>
      <w:tr w:rsidR="00596AD6" w:rsidRPr="00785EE9" w14:paraId="428898BB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110631E0" w14:textId="2079F8BF" w:rsidR="00596AD6" w:rsidRPr="0060546C" w:rsidRDefault="00E878EB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>
              <w:rPr>
                <w:rFonts w:ascii="Calibri" w:eastAsia="MS ??" w:hAnsi="Calibri" w:cs="Cambria"/>
                <w:sz w:val="20"/>
              </w:rPr>
              <w:t>120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B41932" w14:textId="02156CA5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375D31" w14:textId="02488025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FF0C53" w14:textId="3268CD3B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596AD6" w:rsidRPr="00785EE9" w14:paraId="057E30A9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0D5809D7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CFU/ETCS</w:t>
            </w:r>
          </w:p>
        </w:tc>
      </w:tr>
      <w:tr w:rsidR="00596AD6" w:rsidRPr="00785EE9" w14:paraId="41889DDA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551D75AC" w14:textId="4462AC13" w:rsidR="00596AD6" w:rsidRPr="0060546C" w:rsidRDefault="00C228A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>
              <w:rPr>
                <w:rFonts w:ascii="Calibri" w:eastAsia="MS ??" w:hAnsi="Calibri" w:cs="Cambria"/>
                <w:sz w:val="20"/>
              </w:rPr>
              <w:t>3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381CC0" w14:textId="095DA8F2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B3E6B7" w14:textId="6926EFA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A6C2B6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596AD6" w:rsidRPr="00785EE9" w14:paraId="628EEFED" w14:textId="77777777" w:rsidTr="00565BB5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1C96F4" w14:textId="77777777" w:rsidR="00596AD6" w:rsidRPr="008909FB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7D18E" w14:textId="77777777" w:rsidR="00596AD6" w:rsidRPr="008909FB" w:rsidRDefault="00596AD6" w:rsidP="004A3DC3">
            <w:pPr>
              <w:overflowPunct/>
              <w:autoSpaceDE/>
              <w:autoSpaceDN/>
              <w:adjustRightInd/>
              <w:ind w:left="360"/>
              <w:contextualSpacing/>
              <w:jc w:val="both"/>
              <w:rPr>
                <w:rFonts w:ascii="Calibri" w:eastAsia="MS Mincho" w:hAnsi="Calibri"/>
                <w:i/>
                <w:sz w:val="20"/>
              </w:rPr>
            </w:pPr>
          </w:p>
        </w:tc>
      </w:tr>
      <w:tr w:rsidR="00596AD6" w:rsidRPr="00785EE9" w14:paraId="47C12934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9751E8" w14:textId="77777777" w:rsidR="00596AD6" w:rsidRPr="008909FB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8909FB">
              <w:rPr>
                <w:rFonts w:ascii="Calibri" w:eastAsia="MS ??" w:hAnsi="Calibri" w:cs="Calibri"/>
                <w:b/>
                <w:bCs/>
                <w:sz w:val="20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82DFFF4" w14:textId="2B3E7DAC" w:rsidR="00CB1DAD" w:rsidRPr="00DC5BCC" w:rsidRDefault="00DC5BCC" w:rsidP="004A3DC3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DC5BCC">
              <w:rPr>
                <w:rFonts w:ascii="Calibri" w:eastAsia="MS ??" w:hAnsi="Calibri" w:cs="Calibri"/>
                <w:sz w:val="22"/>
                <w:szCs w:val="22"/>
              </w:rPr>
              <w:t>Acquisizione di competenze relative all’attività di scavo e ricerca archeologica sul campo.</w:t>
            </w:r>
          </w:p>
        </w:tc>
      </w:tr>
      <w:tr w:rsidR="00596AD6" w:rsidRPr="00785EE9" w14:paraId="3D172B0B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8568981" w14:textId="77777777" w:rsidR="00596AD6" w:rsidRPr="008909FB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8909FB">
              <w:rPr>
                <w:rFonts w:ascii="Calibri" w:eastAsia="MS ??" w:hAnsi="Calibri" w:cs="Cambria"/>
                <w:b/>
                <w:bCs/>
                <w:sz w:val="20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71860267" w14:textId="7BBCB611" w:rsidR="00596AD6" w:rsidRPr="00356F7C" w:rsidRDefault="002C74CD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Non sono richieste conoscenze preliminari.</w:t>
            </w:r>
          </w:p>
        </w:tc>
      </w:tr>
      <w:tr w:rsidR="00596AD6" w:rsidRPr="00785EE9" w14:paraId="7D690B56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B2820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F3961" w14:textId="77777777" w:rsidR="00596AD6" w:rsidRPr="00356F7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</w:tc>
      </w:tr>
      <w:tr w:rsidR="00596AD6" w:rsidRPr="00785EE9" w14:paraId="7BD91184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41E4DEEC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0448E72B" w14:textId="3518A224" w:rsidR="00596AD6" w:rsidRPr="00356F7C" w:rsidRDefault="00E878EB" w:rsidP="004A3DC3">
            <w:pPr>
              <w:jc w:val="both"/>
              <w:rPr>
                <w:rFonts w:ascii="Calibri" w:eastAsia="MS ??" w:hAnsi="Calibri" w:cs="Calibri"/>
                <w:color w:val="FF0000"/>
                <w:sz w:val="22"/>
                <w:szCs w:val="22"/>
              </w:rPr>
            </w:pPr>
            <w:r w:rsidRPr="000B7159">
              <w:rPr>
                <w:rFonts w:ascii="Calibri" w:eastAsia="MS ??" w:hAnsi="Calibri" w:cs="Calibri"/>
                <w:sz w:val="22"/>
                <w:szCs w:val="22"/>
              </w:rPr>
              <w:t>Attività pratica di scavo e documentazione archeologica sul campo e in laboratorio.</w:t>
            </w:r>
          </w:p>
        </w:tc>
      </w:tr>
      <w:tr w:rsidR="00596AD6" w:rsidRPr="00785EE9" w14:paraId="0545E7D1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5181FE4C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03058181" w14:textId="77777777" w:rsidR="00596AD6" w:rsidRPr="00356F7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596AD6" w:rsidRPr="00785EE9" w14:paraId="73E455CB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5DAE803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Risultati di apprendimento previsti</w:t>
            </w:r>
          </w:p>
          <w:p w14:paraId="4CB4DCE3" w14:textId="77777777" w:rsidR="00596AD6" w:rsidRDefault="00596A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64492926" w14:textId="77777777" w:rsidR="000056D6" w:rsidRPr="00785EE9" w:rsidRDefault="000056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518ABE2A" w14:textId="77777777" w:rsidR="00596AD6" w:rsidRPr="00785EE9" w:rsidRDefault="00596A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</w:rPr>
            </w:pPr>
            <w:r w:rsidRPr="00785EE9">
              <w:rPr>
                <w:rFonts w:ascii="Calibri" w:eastAsia="MS Mincho" w:hAnsi="Calibri"/>
                <w:b/>
                <w:bCs/>
                <w:i/>
                <w:iCs/>
                <w:sz w:val="20"/>
              </w:rPr>
              <w:t xml:space="preserve">DD1 </w:t>
            </w:r>
            <w:r w:rsidRPr="00785EE9">
              <w:rPr>
                <w:rFonts w:ascii="Calibri" w:eastAsia="MS Mincho" w:hAnsi="Calibri"/>
                <w:b/>
                <w:bCs/>
                <w:iCs/>
                <w:sz w:val="20"/>
              </w:rPr>
              <w:t>Conoscenza e capacità di comprensione</w:t>
            </w:r>
          </w:p>
          <w:p w14:paraId="6909798B" w14:textId="77777777" w:rsidR="00D7053E" w:rsidRPr="00785EE9" w:rsidRDefault="00D7053E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i/>
                <w:iCs/>
                <w:sz w:val="20"/>
              </w:rPr>
            </w:pPr>
          </w:p>
          <w:p w14:paraId="45B83BE0" w14:textId="77777777" w:rsidR="00596AD6" w:rsidRPr="00785EE9" w:rsidRDefault="00596A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</w:rPr>
            </w:pPr>
            <w:r w:rsidRPr="00785EE9">
              <w:rPr>
                <w:rFonts w:ascii="Calibri" w:eastAsia="MS Mincho" w:hAnsi="Calibri"/>
                <w:b/>
                <w:i/>
                <w:iCs/>
                <w:sz w:val="20"/>
              </w:rPr>
              <w:t xml:space="preserve">DD2 </w:t>
            </w:r>
            <w:r w:rsidRPr="00785EE9">
              <w:rPr>
                <w:rFonts w:ascii="Calibri" w:eastAsia="MS Mincho" w:hAnsi="Calibri"/>
                <w:b/>
                <w:bCs/>
                <w:iCs/>
                <w:sz w:val="20"/>
              </w:rPr>
              <w:t>Conoscenza e capacità di comprensione applicate</w:t>
            </w:r>
          </w:p>
          <w:p w14:paraId="30585FD5" w14:textId="77777777" w:rsidR="00596AD6" w:rsidRPr="00785EE9" w:rsidRDefault="00596A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i/>
                <w:iCs/>
                <w:sz w:val="20"/>
              </w:rPr>
            </w:pPr>
          </w:p>
          <w:p w14:paraId="49614213" w14:textId="77777777" w:rsidR="00596AD6" w:rsidRPr="00785EE9" w:rsidRDefault="00596A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</w:rPr>
            </w:pPr>
            <w:r w:rsidRPr="00785EE9">
              <w:rPr>
                <w:rFonts w:ascii="Calibri" w:eastAsia="MS Mincho" w:hAnsi="Calibri"/>
                <w:b/>
                <w:i/>
                <w:iCs/>
                <w:sz w:val="20"/>
              </w:rPr>
              <w:t xml:space="preserve">DD3-5 </w:t>
            </w:r>
            <w:r w:rsidRPr="00785EE9">
              <w:rPr>
                <w:rFonts w:ascii="Calibri" w:eastAsia="MS Mincho" w:hAnsi="Calibri"/>
                <w:b/>
                <w:bCs/>
                <w:iCs/>
                <w:sz w:val="20"/>
              </w:rPr>
              <w:t>Competenze trasversali</w:t>
            </w:r>
          </w:p>
          <w:p w14:paraId="3330A89F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i/>
                <w:i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73CD5E73" w14:textId="30F31BA5" w:rsidR="00596AD6" w:rsidRDefault="000B715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0B7159">
              <w:rPr>
                <w:rFonts w:ascii="Calibri" w:eastAsia="MS ??" w:hAnsi="Calibri" w:cs="Calibri"/>
                <w:sz w:val="22"/>
                <w:szCs w:val="22"/>
              </w:rPr>
              <w:lastRenderedPageBreak/>
              <w:t>Conoscenza e capacità di comprensione dei metodi, delle tecniche operative e delle metodologie di indagine archeologica sul campo.</w:t>
            </w:r>
          </w:p>
          <w:p w14:paraId="3503B35F" w14:textId="77777777" w:rsidR="000B7159" w:rsidRPr="00356F7C" w:rsidRDefault="000B715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0555B6C0" w14:textId="60B295AA" w:rsidR="00D47832" w:rsidRDefault="00D47832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b/>
                <w:bCs/>
                <w:i/>
                <w:iCs/>
                <w:sz w:val="22"/>
                <w:szCs w:val="22"/>
              </w:rPr>
              <w:t xml:space="preserve">DD1 </w:t>
            </w:r>
            <w:r w:rsidRPr="00356F7C"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  <w:t>Conoscenza e capacità di comprensione</w:t>
            </w:r>
          </w:p>
          <w:p w14:paraId="5B54039A" w14:textId="45CF287F" w:rsidR="000B7159" w:rsidRPr="00022DC3" w:rsidRDefault="00022DC3" w:rsidP="00022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022DC3">
              <w:rPr>
                <w:rFonts w:ascii="Calibri" w:eastAsia="MS ??" w:hAnsi="Calibri" w:cs="Calibri"/>
                <w:sz w:val="22"/>
                <w:szCs w:val="22"/>
              </w:rPr>
              <w:lastRenderedPageBreak/>
              <w:t>Conoscenza e capacità di comprensione dei metodi, delle tecniche operative e delle metodologie di indagine archeologica sul campo.</w:t>
            </w:r>
          </w:p>
          <w:p w14:paraId="4AFDFAD2" w14:textId="77777777" w:rsidR="00D7053E" w:rsidRPr="00356F7C" w:rsidRDefault="00D7053E" w:rsidP="004A3DC3">
            <w:p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5B136614" w14:textId="5F2EE73A" w:rsidR="000056D6" w:rsidRDefault="00D47832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b/>
                <w:i/>
                <w:iCs/>
                <w:sz w:val="22"/>
                <w:szCs w:val="22"/>
              </w:rPr>
              <w:t xml:space="preserve">DD2 </w:t>
            </w:r>
            <w:r w:rsidRPr="00356F7C"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  <w:t>Conoscenza e capacità di comprensione applicate</w:t>
            </w:r>
          </w:p>
          <w:p w14:paraId="67918F95" w14:textId="38148575" w:rsidR="00D47832" w:rsidRDefault="00022DC3" w:rsidP="00022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022DC3">
              <w:rPr>
                <w:rFonts w:ascii="Calibri" w:eastAsia="MS ??" w:hAnsi="Calibri" w:cs="Calibri"/>
                <w:sz w:val="22"/>
                <w:szCs w:val="22"/>
              </w:rPr>
              <w:t>Conoscenza e capacità di comprensione applicate alla impostazione, allo svolgimento e alla gestione di una campagna di indagini archeologiche.</w:t>
            </w:r>
          </w:p>
          <w:p w14:paraId="7A908F51" w14:textId="77777777" w:rsidR="00022DC3" w:rsidRPr="00356F7C" w:rsidRDefault="00022DC3" w:rsidP="00022DC3">
            <w:p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77EA7387" w14:textId="00B4B9E8" w:rsidR="00596AD6" w:rsidRPr="00356F7C" w:rsidRDefault="00D47832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b/>
                <w:i/>
                <w:iCs/>
                <w:sz w:val="22"/>
                <w:szCs w:val="22"/>
              </w:rPr>
              <w:t xml:space="preserve">DD3 </w:t>
            </w:r>
            <w:r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>Capacità critiche e di giudizio</w:t>
            </w:r>
          </w:p>
          <w:p w14:paraId="785EFE1F" w14:textId="77777777" w:rsidR="00596AD6" w:rsidRPr="00356F7C" w:rsidRDefault="00596AD6" w:rsidP="004A3DC3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i/>
                <w:sz w:val="22"/>
                <w:szCs w:val="22"/>
              </w:rPr>
              <w:t>Autonomia di giudizio</w:t>
            </w:r>
          </w:p>
          <w:p w14:paraId="3B484993" w14:textId="54962A7B" w:rsidR="000B7159" w:rsidRPr="000B7159" w:rsidRDefault="00022DC3" w:rsidP="000B7159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022DC3">
              <w:rPr>
                <w:rFonts w:ascii="Calibri" w:eastAsia="MS ??" w:hAnsi="Calibri" w:cs="Calibri"/>
                <w:sz w:val="22"/>
                <w:szCs w:val="22"/>
              </w:rPr>
              <w:t>Conoscenza e capacità di comprensione di una strategia di ricerca e delle principali tecniche e metodologie di indagine e documentazione</w:t>
            </w:r>
            <w:r w:rsidR="000B7159" w:rsidRPr="000B7159"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  <w:p w14:paraId="4E52D351" w14:textId="204C132C" w:rsidR="00D47832" w:rsidRPr="000B7159" w:rsidRDefault="00D47832" w:rsidP="000B7159">
            <w:pPr>
              <w:overflowPunct/>
              <w:autoSpaceDE/>
              <w:autoSpaceDN/>
              <w:adjustRightInd/>
              <w:ind w:left="36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1C767B33" w14:textId="77777777" w:rsidR="00D47832" w:rsidRPr="00356F7C" w:rsidRDefault="00D47832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>DD4</w:t>
            </w:r>
            <w:r w:rsidR="00596AD6"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capacità di comunicare quanto si è appreso</w:t>
            </w:r>
          </w:p>
          <w:p w14:paraId="74083973" w14:textId="77777777" w:rsidR="00596AD6" w:rsidRPr="00356F7C" w:rsidRDefault="00596AD6" w:rsidP="004A3DC3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i/>
                <w:sz w:val="22"/>
                <w:szCs w:val="22"/>
              </w:rPr>
              <w:t>Abilità comunicative</w:t>
            </w:r>
          </w:p>
          <w:p w14:paraId="5898DE3D" w14:textId="77777777" w:rsidR="000B7159" w:rsidRPr="000B7159" w:rsidRDefault="000B7159" w:rsidP="000B7159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0B7159">
              <w:rPr>
                <w:rFonts w:ascii="Calibri" w:eastAsia="MS ??" w:hAnsi="Calibri" w:cs="Calibri"/>
                <w:sz w:val="22"/>
                <w:szCs w:val="22"/>
              </w:rPr>
              <w:t>Abilità comunicative e padronanza del lessico e della terminologia del settore.</w:t>
            </w:r>
          </w:p>
          <w:p w14:paraId="6809F003" w14:textId="77777777" w:rsidR="00D1348F" w:rsidRPr="00356F7C" w:rsidRDefault="00D1348F" w:rsidP="004A3DC3">
            <w:pPr>
              <w:overflowPunct/>
              <w:autoSpaceDE/>
              <w:autoSpaceDN/>
              <w:adjustRightInd/>
              <w:ind w:left="368"/>
              <w:contextualSpacing/>
              <w:jc w:val="both"/>
              <w:rPr>
                <w:rFonts w:ascii="Calibri" w:eastAsia="MS ??" w:hAnsi="Calibri" w:cs="Calibri"/>
                <w:i/>
                <w:iCs/>
                <w:color w:val="FF0000"/>
                <w:sz w:val="22"/>
                <w:szCs w:val="22"/>
              </w:rPr>
            </w:pPr>
          </w:p>
          <w:p w14:paraId="07A91E59" w14:textId="44C3CCD2" w:rsidR="00596AD6" w:rsidRPr="00356F7C" w:rsidRDefault="00EB7D3B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DD5 </w:t>
            </w:r>
            <w:r w:rsidR="00596AD6"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Capacità di </w:t>
            </w:r>
            <w:r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proseguire </w:t>
            </w:r>
            <w:r w:rsidR="005726C4"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>lo studio</w:t>
            </w:r>
            <w:r w:rsidR="00596AD6"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in modo autonomo</w:t>
            </w:r>
            <w:r w:rsidR="005726C4"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nel corso della vita</w:t>
            </w:r>
          </w:p>
          <w:p w14:paraId="10A3B85C" w14:textId="615270DD" w:rsidR="00596AD6" w:rsidRPr="00356F7C" w:rsidRDefault="00022DC3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022DC3">
              <w:rPr>
                <w:rFonts w:ascii="Calibri" w:eastAsia="MS ??" w:hAnsi="Calibri" w:cs="Calibri"/>
                <w:sz w:val="22"/>
                <w:szCs w:val="22"/>
              </w:rPr>
              <w:t>Capacità di partecipare e collaborare alla gestione di un cantiere di scavo</w:t>
            </w:r>
            <w:r w:rsidR="000B7159" w:rsidRPr="000B7159"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</w:tc>
      </w:tr>
      <w:tr w:rsidR="00596AD6" w:rsidRPr="00785EE9" w14:paraId="3066BF2A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BC4BAD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lastRenderedPageBreak/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6DE3E0" w14:textId="764E7C6F" w:rsidR="00AD6A99" w:rsidRDefault="00AD6A99" w:rsidP="00AD6A9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AD6A99">
              <w:rPr>
                <w:rFonts w:ascii="Calibri" w:eastAsia="MS ??" w:hAnsi="Calibri" w:cs="Calibri"/>
                <w:sz w:val="22"/>
                <w:szCs w:val="22"/>
              </w:rPr>
              <w:t xml:space="preserve">Nel </w:t>
            </w:r>
            <w:r w:rsidR="003739D6">
              <w:rPr>
                <w:rFonts w:ascii="Calibri" w:eastAsia="MS ??" w:hAnsi="Calibri" w:cs="Calibri"/>
                <w:sz w:val="22"/>
                <w:szCs w:val="22"/>
              </w:rPr>
              <w:t>campo dell’archeologia</w:t>
            </w:r>
          </w:p>
          <w:p w14:paraId="52A5DCD1" w14:textId="77777777" w:rsidR="00AD6A99" w:rsidRPr="00AD6A99" w:rsidRDefault="00AD6A99" w:rsidP="00AD6A9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37D2E34C" w14:textId="4DB6C9F0" w:rsidR="00596AD6" w:rsidRPr="00356F7C" w:rsidRDefault="00AD6A99" w:rsidP="00AD6A99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sz w:val="22"/>
                <w:szCs w:val="22"/>
              </w:rPr>
            </w:pPr>
            <w:r w:rsidRPr="00AD6A99">
              <w:rPr>
                <w:rFonts w:ascii="Calibri" w:eastAsia="MS ??" w:hAnsi="Calibri" w:cs="Calibri"/>
                <w:sz w:val="22"/>
                <w:szCs w:val="22"/>
              </w:rPr>
              <w:t>Il corso intende fornire agli studenti le nozioni fondamentali relative alle principali metodologie e tecniche dell’indagine archeologica del contemporaneo, sia sul campo che in laboratorio, dallo scavo alla documentazione.</w:t>
            </w:r>
          </w:p>
        </w:tc>
      </w:tr>
      <w:tr w:rsidR="00596AD6" w:rsidRPr="00E650CB" w14:paraId="3A80335A" w14:textId="77777777" w:rsidTr="00565BB5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0C07EF4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6D7" w14:textId="271CF1D1" w:rsidR="00923BB6" w:rsidRPr="00356F7C" w:rsidRDefault="00923BB6" w:rsidP="00E878EB">
            <w:pPr>
              <w:pStyle w:val="elenchinumerati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??" w:hAnsi="Calibri" w:cs="Calibri"/>
                <w:i/>
                <w:iCs/>
                <w:sz w:val="22"/>
                <w:szCs w:val="22"/>
              </w:rPr>
            </w:pPr>
          </w:p>
        </w:tc>
      </w:tr>
      <w:tr w:rsidR="00596AD6" w:rsidRPr="0088440E" w14:paraId="72DAE39F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3ED73D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916939" w14:textId="77777777" w:rsidR="0088440E" w:rsidRDefault="00E878EB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>
              <w:rPr>
                <w:rFonts w:ascii="Calibri" w:eastAsia="MS ??" w:hAnsi="Calibri" w:cs="Calibri"/>
                <w:sz w:val="22"/>
                <w:szCs w:val="22"/>
              </w:rPr>
              <w:t>Letture di riferimento:</w:t>
            </w:r>
          </w:p>
          <w:p w14:paraId="037E8B46" w14:textId="77777777" w:rsidR="00E878EB" w:rsidRDefault="00E878EB" w:rsidP="00E878EB">
            <w:pPr>
              <w:pStyle w:val="elenchinumerati"/>
              <w:numPr>
                <w:ilvl w:val="0"/>
                <w:numId w:val="27"/>
              </w:numPr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 xml:space="preserve">De Felice G. 2021, </w:t>
            </w:r>
            <w:r w:rsidRPr="00356F7C">
              <w:rPr>
                <w:rFonts w:ascii="Calibri" w:eastAsia="MS ??" w:hAnsi="Calibri" w:cs="Calibri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Nel campo dell’archeologia. Indagini del passato contemporaneo al campo PG 65 di Altamura (BA): storie di prigionieri, partigiani e profughi</w:t>
            </w:r>
            <w:r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 xml:space="preserve">, in Archeologia </w:t>
            </w:r>
            <w:proofErr w:type="spellStart"/>
            <w:r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>Postmedievale</w:t>
            </w:r>
            <w:proofErr w:type="spellEnd"/>
            <w:r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 xml:space="preserve"> 25, pp. 27-40.</w:t>
            </w:r>
          </w:p>
          <w:p w14:paraId="7CD42D4D" w14:textId="2C90ADFE" w:rsidR="00E878EB" w:rsidRPr="00EE2A60" w:rsidRDefault="00E878EB" w:rsidP="004A3DC3">
            <w:pPr>
              <w:pStyle w:val="Paragrafoelenco"/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De Felice G. 2022,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Archeologie del contemporaneo. Paesaggi, contesti, oggetti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, Roma.</w:t>
            </w:r>
          </w:p>
        </w:tc>
      </w:tr>
      <w:tr w:rsidR="00596AD6" w:rsidRPr="00785EE9" w14:paraId="7218FE74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5B4651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A57F80" w14:textId="58C6FA30" w:rsidR="00596AD6" w:rsidRPr="00356F7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</w:tc>
      </w:tr>
      <w:tr w:rsidR="00596AD6" w:rsidRPr="00785EE9" w14:paraId="4FAF42B6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E6A7BE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E0AC1" w14:textId="77777777" w:rsidR="00596AD6" w:rsidRPr="00356F7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</w:tc>
      </w:tr>
      <w:tr w:rsidR="00596AD6" w:rsidRPr="00785EE9" w14:paraId="2837A6E4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119F2D98" w14:textId="77777777" w:rsidR="00596AD6" w:rsidRPr="00785EE9" w:rsidRDefault="00596AD6" w:rsidP="004A3DC3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Gill Sans MT" w:eastAsia="MS Mincho" w:hAnsi="Gill Sans MT" w:cs="Cambria"/>
                <w:b/>
                <w:sz w:val="22"/>
                <w:szCs w:val="22"/>
              </w:rPr>
            </w:pPr>
            <w:r w:rsidRPr="00785EE9">
              <w:rPr>
                <w:rFonts w:ascii="Gill Sans MT" w:eastAsia="MS Mincho" w:hAnsi="Gill Sans MT" w:cs="Cambria"/>
                <w:b/>
                <w:sz w:val="22"/>
                <w:szCs w:val="22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22A4D2CC" w14:textId="77777777" w:rsidR="00596AD6" w:rsidRPr="00356F7C" w:rsidRDefault="00596AD6" w:rsidP="004A3DC3">
            <w:pPr>
              <w:overflowPunct/>
              <w:jc w:val="both"/>
              <w:rPr>
                <w:rFonts w:ascii="Calibri" w:eastAsia="MS ??" w:hAnsi="Calibri" w:cs="Calibri"/>
                <w:color w:val="FF0000"/>
                <w:sz w:val="22"/>
                <w:szCs w:val="22"/>
              </w:rPr>
            </w:pPr>
          </w:p>
        </w:tc>
      </w:tr>
      <w:tr w:rsidR="00596AD6" w:rsidRPr="00785EE9" w14:paraId="32C190B1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A0A36F1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6155C709" w14:textId="2E9948DB" w:rsidR="00FC20D3" w:rsidRPr="00041FD7" w:rsidRDefault="00FD10DC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041FD7">
              <w:rPr>
                <w:rFonts w:ascii="Calibri" w:eastAsia="MS ??" w:hAnsi="Calibri" w:cs="Calibri"/>
                <w:sz w:val="22"/>
                <w:szCs w:val="22"/>
              </w:rPr>
              <w:t>In considerazione della natura pratica del corso, la verifica dell’apprendimento avverrà già in itinere durante le attività.</w:t>
            </w:r>
          </w:p>
        </w:tc>
      </w:tr>
      <w:tr w:rsidR="00596AD6" w:rsidRPr="00785EE9" w14:paraId="5F313E98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6D8A9C5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 xml:space="preserve">Criteri di valutazione </w:t>
            </w:r>
          </w:p>
          <w:p w14:paraId="00F5D1BF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</w:tcPr>
          <w:p w14:paraId="67BB29F6" w14:textId="77777777" w:rsidR="007270E9" w:rsidRPr="007270E9" w:rsidRDefault="007270E9" w:rsidP="007270E9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i/>
                <w:sz w:val="22"/>
                <w:szCs w:val="22"/>
              </w:rPr>
            </w:pPr>
            <w:r w:rsidRPr="007270E9">
              <w:rPr>
                <w:rFonts w:ascii="Calibri" w:eastAsia="MS ??" w:hAnsi="Calibri" w:cs="Calibri"/>
                <w:i/>
                <w:sz w:val="22"/>
                <w:szCs w:val="22"/>
              </w:rPr>
              <w:t>Conoscenza e capacità di comprensione:</w:t>
            </w:r>
          </w:p>
          <w:p w14:paraId="1245A56D" w14:textId="77777777" w:rsidR="007270E9" w:rsidRPr="007270E9" w:rsidRDefault="007270E9" w:rsidP="007270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7270E9">
              <w:rPr>
                <w:rFonts w:ascii="Calibri" w:eastAsia="MS ??" w:hAnsi="Calibri" w:cs="Calibri"/>
                <w:sz w:val="22"/>
                <w:szCs w:val="22"/>
              </w:rPr>
              <w:t>Conoscenza delle tecniche e delle metodologie di indagine.</w:t>
            </w:r>
          </w:p>
          <w:p w14:paraId="14E7FF06" w14:textId="77777777" w:rsidR="007270E9" w:rsidRPr="007270E9" w:rsidRDefault="007270E9" w:rsidP="007270E9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i/>
                <w:sz w:val="22"/>
                <w:szCs w:val="22"/>
              </w:rPr>
            </w:pPr>
            <w:r w:rsidRPr="007270E9">
              <w:rPr>
                <w:rFonts w:ascii="Calibri" w:eastAsia="MS ??" w:hAnsi="Calibri" w:cs="Calibri"/>
                <w:i/>
                <w:sz w:val="22"/>
                <w:szCs w:val="22"/>
              </w:rPr>
              <w:lastRenderedPageBreak/>
              <w:t>Conoscenza e capacità di comprensione applicate:</w:t>
            </w:r>
          </w:p>
          <w:p w14:paraId="232F340A" w14:textId="77777777" w:rsidR="007270E9" w:rsidRPr="007270E9" w:rsidRDefault="007270E9" w:rsidP="007270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7270E9">
              <w:rPr>
                <w:rFonts w:ascii="Calibri" w:eastAsia="MS ??" w:hAnsi="Calibri" w:cs="Calibri"/>
                <w:sz w:val="22"/>
                <w:szCs w:val="22"/>
              </w:rPr>
              <w:t>Conoscenza e capacità di comprensione delle giuste procedure di applicazione delle tecniche a seconda delle necessità e delle difficoltà operative.</w:t>
            </w:r>
          </w:p>
          <w:p w14:paraId="64EC3993" w14:textId="77777777" w:rsidR="007270E9" w:rsidRPr="007270E9" w:rsidRDefault="007270E9" w:rsidP="007270E9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7270E9">
              <w:rPr>
                <w:rFonts w:ascii="Calibri" w:eastAsia="MS ??" w:hAnsi="Calibri" w:cs="Calibri"/>
                <w:i/>
                <w:sz w:val="22"/>
                <w:szCs w:val="22"/>
              </w:rPr>
              <w:t>Autonomia di giudizio</w:t>
            </w:r>
            <w:r w:rsidRPr="007270E9">
              <w:rPr>
                <w:rFonts w:ascii="Calibri" w:eastAsia="MS ??" w:hAnsi="Calibri" w:cs="Calibri"/>
                <w:sz w:val="22"/>
                <w:szCs w:val="22"/>
              </w:rPr>
              <w:t>:</w:t>
            </w:r>
          </w:p>
          <w:p w14:paraId="5569A35A" w14:textId="77777777" w:rsidR="007270E9" w:rsidRPr="007270E9" w:rsidRDefault="007270E9" w:rsidP="007270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7270E9">
              <w:rPr>
                <w:rFonts w:ascii="Calibri" w:eastAsia="MS ??" w:hAnsi="Calibri" w:cs="Calibri"/>
                <w:sz w:val="22"/>
                <w:szCs w:val="22"/>
              </w:rPr>
              <w:t>Utilizzo corretto di strumenti e metodi.</w:t>
            </w:r>
          </w:p>
          <w:p w14:paraId="50ACA390" w14:textId="77777777" w:rsidR="007270E9" w:rsidRPr="007270E9" w:rsidRDefault="007270E9" w:rsidP="007270E9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i/>
                <w:iCs/>
                <w:sz w:val="22"/>
                <w:szCs w:val="22"/>
              </w:rPr>
            </w:pPr>
            <w:r w:rsidRPr="007270E9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Abilità comunicative:</w:t>
            </w:r>
          </w:p>
          <w:p w14:paraId="0A0BAC6C" w14:textId="77777777" w:rsidR="007270E9" w:rsidRPr="007270E9" w:rsidRDefault="007270E9" w:rsidP="007270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7270E9">
              <w:rPr>
                <w:rFonts w:ascii="Calibri" w:eastAsia="MS ??" w:hAnsi="Calibri" w:cs="Calibri"/>
                <w:sz w:val="22"/>
                <w:szCs w:val="22"/>
              </w:rPr>
              <w:t>Abilità comunicative e padronanza del lessico e della terminologia del settore.</w:t>
            </w:r>
          </w:p>
          <w:p w14:paraId="7CE26E4B" w14:textId="77777777" w:rsidR="007270E9" w:rsidRPr="007270E9" w:rsidRDefault="007270E9" w:rsidP="007270E9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i/>
                <w:iCs/>
                <w:sz w:val="22"/>
                <w:szCs w:val="22"/>
              </w:rPr>
            </w:pPr>
            <w:r w:rsidRPr="007270E9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Capacità di apprendere:</w:t>
            </w:r>
          </w:p>
          <w:p w14:paraId="2E5DCA93" w14:textId="15AE22E4" w:rsidR="00596AD6" w:rsidRPr="00356F7C" w:rsidRDefault="007270E9" w:rsidP="007270E9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7270E9">
              <w:rPr>
                <w:rFonts w:ascii="Calibri" w:eastAsia="MS ??" w:hAnsi="Calibri" w:cs="Calibri"/>
                <w:sz w:val="22"/>
                <w:szCs w:val="22"/>
              </w:rPr>
              <w:t>Conoscenza delle tecniche e delle metodologie di aggiornamento.</w:t>
            </w:r>
          </w:p>
        </w:tc>
      </w:tr>
      <w:tr w:rsidR="00596AD6" w:rsidRPr="00785EE9" w14:paraId="02FEF319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F3B3B36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lastRenderedPageBreak/>
              <w:t>Criteri di misurazione</w:t>
            </w:r>
          </w:p>
          <w:p w14:paraId="1E5B7956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6568DD4E" w14:textId="69940496" w:rsidR="00596AD6" w:rsidRPr="00356F7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</w:tc>
      </w:tr>
      <w:tr w:rsidR="00596AD6" w:rsidRPr="00785EE9" w14:paraId="213710DA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09C0BFEE" w14:textId="77777777" w:rsidR="00596AD6" w:rsidRPr="00785EE9" w:rsidRDefault="00596AD6" w:rsidP="004A3DC3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Gill Sans MT" w:eastAsia="MS Mincho" w:hAnsi="Gill Sans MT" w:cs="Cambria"/>
                <w:b/>
                <w:sz w:val="22"/>
                <w:szCs w:val="22"/>
              </w:rPr>
            </w:pPr>
            <w:r w:rsidRPr="00785EE9">
              <w:rPr>
                <w:rFonts w:ascii="Gill Sans MT" w:eastAsia="MS Mincho" w:hAnsi="Gill Sans MT" w:cs="Cambria"/>
                <w:b/>
                <w:sz w:val="22"/>
                <w:szCs w:val="22"/>
              </w:rPr>
              <w:t xml:space="preserve">Altro </w:t>
            </w:r>
          </w:p>
        </w:tc>
        <w:tc>
          <w:tcPr>
            <w:tcW w:w="3514" w:type="pct"/>
            <w:gridSpan w:val="5"/>
          </w:tcPr>
          <w:p w14:paraId="2C2D85A1" w14:textId="77777777" w:rsidR="000746B5" w:rsidRPr="000746B5" w:rsidRDefault="000746B5" w:rsidP="000746B5">
            <w:pPr>
              <w:overflowPunct/>
              <w:jc w:val="both"/>
              <w:rPr>
                <w:rFonts w:ascii="Calibri" w:eastAsia="MS ??" w:hAnsi="Calibri" w:cs="Calibri"/>
                <w:color w:val="000000" w:themeColor="text1"/>
                <w:sz w:val="20"/>
              </w:rPr>
            </w:pPr>
            <w:r w:rsidRPr="000746B5">
              <w:rPr>
                <w:rFonts w:ascii="Calibri" w:eastAsia="MS ??" w:hAnsi="Calibri" w:cs="Calibri"/>
                <w:color w:val="000000" w:themeColor="text1"/>
                <w:sz w:val="20"/>
              </w:rPr>
              <w:t xml:space="preserve">Lo studente iscritto al Corso di Laurea Magistrale </w:t>
            </w:r>
            <w:proofErr w:type="spellStart"/>
            <w:r w:rsidRPr="000746B5">
              <w:rPr>
                <w:rFonts w:ascii="Calibri" w:eastAsia="MS ??" w:hAnsi="Calibri" w:cs="Calibri"/>
                <w:color w:val="000000" w:themeColor="text1"/>
                <w:sz w:val="20"/>
              </w:rPr>
              <w:t>interateneo</w:t>
            </w:r>
            <w:proofErr w:type="spellEnd"/>
            <w:r w:rsidRPr="000746B5">
              <w:rPr>
                <w:rFonts w:ascii="Calibri" w:eastAsia="MS ??" w:hAnsi="Calibri" w:cs="Calibri"/>
                <w:color w:val="000000" w:themeColor="text1"/>
                <w:sz w:val="20"/>
              </w:rPr>
              <w:t xml:space="preserve"> in Archeologia, nel momento in cui si iscrive ad un’attività sul campo prevista nel suo piano di studi, deve comunicare al docente referente se l’attività è finalizzata al raggiungimento dei CFU curriculari (3 cfu) previsti (1 attività sul campo a scelta tra quelle previste deve essere obbligatoriamente svolta nell’arco del biennio) oppure se rientra nei CFU dedicati alle attività a scelta. </w:t>
            </w:r>
          </w:p>
          <w:p w14:paraId="428FC9A2" w14:textId="696C31B3" w:rsidR="00596AD6" w:rsidRPr="00785EE9" w:rsidRDefault="000746B5" w:rsidP="000746B5">
            <w:pPr>
              <w:overflowPunct/>
              <w:jc w:val="both"/>
              <w:rPr>
                <w:rFonts w:ascii="Calibri" w:eastAsia="MS ??" w:hAnsi="Calibri" w:cs="Calibri"/>
                <w:color w:val="FF0000"/>
                <w:sz w:val="20"/>
              </w:rPr>
            </w:pPr>
            <w:r w:rsidRPr="000746B5">
              <w:rPr>
                <w:rFonts w:ascii="Calibri" w:eastAsia="MS ??" w:hAnsi="Calibri" w:cs="Calibri"/>
                <w:color w:val="000000" w:themeColor="text1"/>
                <w:sz w:val="20"/>
              </w:rPr>
              <w:t>Qualora lo studente partecipi a 3 settimane di attività sul campo, finalizzate al raggiungimento dei 3 CFU curriculari, la verbalizzazione avverrà sulla piattaforma Esse3, a cura del docente di riferimento (come avviene per un normale esame).</w:t>
            </w:r>
          </w:p>
        </w:tc>
      </w:tr>
    </w:tbl>
    <w:p w14:paraId="1069B1A1" w14:textId="77777777" w:rsidR="00785EE9" w:rsidRPr="00785EE9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</w:p>
    <w:p w14:paraId="41D014C0" w14:textId="77777777" w:rsidR="00135543" w:rsidRDefault="00135543" w:rsidP="004A3DC3">
      <w:pPr>
        <w:jc w:val="both"/>
        <w:rPr>
          <w:b/>
        </w:rPr>
      </w:pPr>
    </w:p>
    <w:sectPr w:rsidR="00135543" w:rsidSect="00E046EA">
      <w:headerReference w:type="default" r:id="rId8"/>
      <w:footerReference w:type="even" r:id="rId9"/>
      <w:footerReference w:type="default" r:id="rId10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F5EA" w14:textId="77777777" w:rsidR="00CC4C9C" w:rsidRDefault="00CC4C9C">
      <w:r>
        <w:separator/>
      </w:r>
    </w:p>
  </w:endnote>
  <w:endnote w:type="continuationSeparator" w:id="0">
    <w:p w14:paraId="31E246A2" w14:textId="77777777" w:rsidR="00CC4C9C" w:rsidRDefault="00CC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">
    <w:altName w:val="Georgia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F556" w14:textId="77777777"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CB65D" w14:textId="77777777"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B1A1" w14:textId="77777777" w:rsidR="00A0096A" w:rsidRDefault="00A0096A" w:rsidP="00AF31DA">
    <w:pPr>
      <w:pStyle w:val="Pidipagina"/>
    </w:pPr>
  </w:p>
  <w:p w14:paraId="17B81521" w14:textId="77777777" w:rsidR="0022086B" w:rsidRDefault="0022086B" w:rsidP="00AF31DA">
    <w:pPr>
      <w:pStyle w:val="Pidipagina"/>
    </w:pPr>
  </w:p>
  <w:p w14:paraId="0C0F49D7" w14:textId="77777777" w:rsidR="0022086B" w:rsidRDefault="0022086B" w:rsidP="00AF31DA">
    <w:pPr>
      <w:pStyle w:val="Pidipagina"/>
    </w:pPr>
  </w:p>
  <w:p w14:paraId="41906F15" w14:textId="77777777" w:rsidR="0022086B" w:rsidRPr="00AF31DA" w:rsidRDefault="0022086B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5A19" w14:textId="77777777" w:rsidR="00CC4C9C" w:rsidRDefault="00CC4C9C">
      <w:r>
        <w:separator/>
      </w:r>
    </w:p>
  </w:footnote>
  <w:footnote w:type="continuationSeparator" w:id="0">
    <w:p w14:paraId="456B106E" w14:textId="77777777" w:rsidR="00CC4C9C" w:rsidRDefault="00CC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E3CA" w14:textId="77777777"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C9274" wp14:editId="151B57F7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44C10" w14:textId="77777777" w:rsidR="00A0096A" w:rsidRPr="009341C7" w:rsidRDefault="00AF0228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14:paraId="53B6A660" w14:textId="77777777" w:rsidR="002C2F25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14:paraId="2119A34B" w14:textId="77777777" w:rsidR="00A0096A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INNOVAZIONE UMANISTICA</w:t>
                          </w:r>
                        </w:p>
                        <w:p w14:paraId="6F9A35BB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0A0C3DB3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12A7ABC2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5750000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348DE7A0" w14:textId="77777777"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C927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MQb6wEAALsDAAAOAAAAZHJzL2Uyb0RvYy54bWysU8tu2zAQvBfoPxC817J8sBPBcpA6cFEg&#13;&#10;fQBpP4CiKIkoxWWXtCX367ukLKdIb0F0IJZc7nBndrS9G3vDTgq9BlvyfLHkTFkJtbZtyX/+OHy4&#13;&#10;4cwHYWthwKqSn5Xnd7v377aDK9QKOjC1QkYg1heDK3kXgiuyzMtO9cIvwClLyQawF4G22GY1ioHQ&#13;&#10;e5Otlst1NgDWDkEq7+n0YUryXcJvGiXDt6bxKjBTcuotpBXTWsU1221F0aJwnZaXNsQruuiFtvTo&#13;&#10;FepBBMGOqP+D6rVE8NCEhYQ+g6bRUiUOxCZfvmDz1AmnEhcSx7urTP7tYOXX05P7jiyMH2GkASYS&#13;&#10;3j2C/OWZhX0nbKvuEWHolKjp4TxKlg3OF5fSKLUvfASphi9Q05DFMUACGhvsoyrEkxE6DeB8FV2N&#13;&#10;gUk6XN1uNjfrW84k5fJ8tdms01gyUczlDn34pKBnMSg50lQTvDg9+hDbEcV8Jb7mwej6oI1JG2yr&#13;&#10;vUF2EuSAQ/oSgxfXjI2XLcSyCTGeJJ6R2kQyjNVIyci3gvpMjBEmR9EfQEEH+IezgdxUcv/7KFBx&#13;&#10;Zj5bUi1abw5wDqo5EFZSackDZ1O4D5NFjw512xHyNBcL96RsoxPn5y4ufZJDkhQXN0cL/rtPt57/&#13;&#10;ud1fAAAA//8DAFBLAwQUAAYACAAAACEAIyFPreUAAAAQAQAADwAAAGRycy9kb3ducmV2LnhtbEyP&#13;&#10;QU/DMAyF70j8h8hIXNCWLmxjdE0nWNkNDhvTzlkT2orGqZJ07f495gQXS7Y/P7+XbUbbsovxoXEo&#13;&#10;YTZNgBksnW6wknD83E1WwEJUqFXr0Ei4mgCb/PYmU6l2A+7N5RArRiIYUiWhjrFLOQ9lbawKU9cZ&#13;&#10;pN2X81ZFan3FtVcDiduWiyRZcqsapA+16sy2NuX3obcSloXvhz1uH4rj27v66Cpxer2epLy/G4s1&#13;&#10;lZc1sGjG+HcBvxnIP+Rk7Ox61IG1EhazuSBUwkQkc2BEPK8eaXImdPEkgOcZ/x8k/wEAAP//AwBQ&#13;&#10;SwECLQAUAAYACAAAACEAtoM4kv4AAADhAQAAEwAAAAAAAAAAAAAAAAAAAAAAW0NvbnRlbnRfVHlw&#13;&#10;ZXNdLnhtbFBLAQItABQABgAIAAAAIQA4/SH/1gAAAJQBAAALAAAAAAAAAAAAAAAAAC8BAABfcmVs&#13;&#10;cy8ucmVsc1BLAQItABQABgAIAAAAIQBZRMQb6wEAALsDAAAOAAAAAAAAAAAAAAAAAC4CAABkcnMv&#13;&#10;ZTJvRG9jLnhtbFBLAQItABQABgAIAAAAIQAjIU+t5QAAABABAAAPAAAAAAAAAAAAAAAAAEUEAABk&#13;&#10;cnMvZG93bnJldi54bWxQSwUGAAAAAAQABADzAAAAVwUAAAAA&#13;&#10;" stroked="f">
              <v:textbox inset="0,0,0,0">
                <w:txbxContent>
                  <w:p w14:paraId="06144C10" w14:textId="77777777" w:rsidR="00A0096A" w:rsidRPr="009341C7" w:rsidRDefault="00AF0228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14:paraId="53B6A660" w14:textId="77777777" w:rsidR="002C2F25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14:paraId="2119A34B" w14:textId="77777777" w:rsidR="00A0096A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>INNOVAZIONE UMANISTICA</w:t>
                    </w:r>
                  </w:p>
                  <w:p w14:paraId="6F9A35BB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0A0C3DB3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12A7ABC2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45750000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348DE7A0" w14:textId="77777777"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550A60E4" wp14:editId="0A33F395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9E71D81"/>
    <w:multiLevelType w:val="hybridMultilevel"/>
    <w:tmpl w:val="A9B28390"/>
    <w:lvl w:ilvl="0" w:tplc="F85A5340">
      <w:start w:val="7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662"/>
    <w:multiLevelType w:val="hybridMultilevel"/>
    <w:tmpl w:val="FEB62DF4"/>
    <w:lvl w:ilvl="0" w:tplc="6B981098">
      <w:start w:val="1"/>
      <w:numFmt w:val="decimal"/>
      <w:pStyle w:val="elenchinumerati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250CB"/>
    <w:multiLevelType w:val="hybridMultilevel"/>
    <w:tmpl w:val="61DE09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E0398"/>
    <w:multiLevelType w:val="hybridMultilevel"/>
    <w:tmpl w:val="33860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17AB"/>
    <w:multiLevelType w:val="hybridMultilevel"/>
    <w:tmpl w:val="AC642DB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73B22"/>
    <w:multiLevelType w:val="hybridMultilevel"/>
    <w:tmpl w:val="AB544E5C"/>
    <w:lvl w:ilvl="0" w:tplc="0410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A5E46A3"/>
    <w:multiLevelType w:val="hybridMultilevel"/>
    <w:tmpl w:val="EE30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1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E62503"/>
    <w:multiLevelType w:val="hybridMultilevel"/>
    <w:tmpl w:val="305C82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32262"/>
    <w:multiLevelType w:val="hybridMultilevel"/>
    <w:tmpl w:val="7B140E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5046D"/>
    <w:multiLevelType w:val="hybridMultilevel"/>
    <w:tmpl w:val="1A2A2580"/>
    <w:lvl w:ilvl="0" w:tplc="F85A5340">
      <w:start w:val="7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30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345285">
    <w:abstractNumId w:val="0"/>
  </w:num>
  <w:num w:numId="2" w16cid:durableId="32580974">
    <w:abstractNumId w:val="8"/>
  </w:num>
  <w:num w:numId="3" w16cid:durableId="485126650">
    <w:abstractNumId w:val="20"/>
  </w:num>
  <w:num w:numId="4" w16cid:durableId="243340935">
    <w:abstractNumId w:val="29"/>
  </w:num>
  <w:num w:numId="5" w16cid:durableId="1699964413">
    <w:abstractNumId w:val="25"/>
  </w:num>
  <w:num w:numId="6" w16cid:durableId="2129619019">
    <w:abstractNumId w:val="27"/>
  </w:num>
  <w:num w:numId="7" w16cid:durableId="893154736">
    <w:abstractNumId w:val="10"/>
  </w:num>
  <w:num w:numId="8" w16cid:durableId="1293442158">
    <w:abstractNumId w:val="6"/>
  </w:num>
  <w:num w:numId="9" w16cid:durableId="1972665042">
    <w:abstractNumId w:val="3"/>
  </w:num>
  <w:num w:numId="10" w16cid:durableId="857887781">
    <w:abstractNumId w:val="22"/>
  </w:num>
  <w:num w:numId="11" w16cid:durableId="1603299827">
    <w:abstractNumId w:val="12"/>
  </w:num>
  <w:num w:numId="12" w16cid:durableId="117333405">
    <w:abstractNumId w:val="21"/>
  </w:num>
  <w:num w:numId="13" w16cid:durableId="924262849">
    <w:abstractNumId w:val="5"/>
  </w:num>
  <w:num w:numId="14" w16cid:durableId="1746759514">
    <w:abstractNumId w:val="26"/>
  </w:num>
  <w:num w:numId="15" w16cid:durableId="1743600801">
    <w:abstractNumId w:val="7"/>
  </w:num>
  <w:num w:numId="16" w16cid:durableId="10037739">
    <w:abstractNumId w:val="31"/>
  </w:num>
  <w:num w:numId="17" w16cid:durableId="1825971096">
    <w:abstractNumId w:val="16"/>
  </w:num>
  <w:num w:numId="18" w16cid:durableId="1133208207">
    <w:abstractNumId w:val="17"/>
  </w:num>
  <w:num w:numId="19" w16cid:durableId="913734931">
    <w:abstractNumId w:val="9"/>
  </w:num>
  <w:num w:numId="20" w16cid:durableId="364721487">
    <w:abstractNumId w:val="18"/>
  </w:num>
  <w:num w:numId="21" w16cid:durableId="2080596741">
    <w:abstractNumId w:val="30"/>
  </w:num>
  <w:num w:numId="22" w16cid:durableId="1752697268">
    <w:abstractNumId w:val="28"/>
  </w:num>
  <w:num w:numId="23" w16cid:durableId="1515925620">
    <w:abstractNumId w:val="19"/>
  </w:num>
  <w:num w:numId="24" w16cid:durableId="357318975">
    <w:abstractNumId w:val="2"/>
  </w:num>
  <w:num w:numId="25" w16cid:durableId="646780801">
    <w:abstractNumId w:val="14"/>
  </w:num>
  <w:num w:numId="26" w16cid:durableId="1970744540">
    <w:abstractNumId w:val="11"/>
  </w:num>
  <w:num w:numId="27" w16cid:durableId="861240176">
    <w:abstractNumId w:val="24"/>
  </w:num>
  <w:num w:numId="28" w16cid:durableId="1585139498">
    <w:abstractNumId w:val="13"/>
  </w:num>
  <w:num w:numId="29" w16cid:durableId="531577514">
    <w:abstractNumId w:val="23"/>
  </w:num>
  <w:num w:numId="30" w16cid:durableId="1527937029">
    <w:abstractNumId w:val="4"/>
  </w:num>
  <w:num w:numId="31" w16cid:durableId="1665936995">
    <w:abstractNumId w:val="4"/>
  </w:num>
  <w:num w:numId="32" w16cid:durableId="110291798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2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6D6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94F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2DC3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1FD7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5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6B5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750"/>
    <w:rsid w:val="00080929"/>
    <w:rsid w:val="00080CBF"/>
    <w:rsid w:val="00080D99"/>
    <w:rsid w:val="0008162E"/>
    <w:rsid w:val="000819FF"/>
    <w:rsid w:val="00081A93"/>
    <w:rsid w:val="0008201F"/>
    <w:rsid w:val="000823CE"/>
    <w:rsid w:val="000826B1"/>
    <w:rsid w:val="00082831"/>
    <w:rsid w:val="00082AD3"/>
    <w:rsid w:val="00082BC8"/>
    <w:rsid w:val="00082FDC"/>
    <w:rsid w:val="00083D92"/>
    <w:rsid w:val="000841E8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190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159"/>
    <w:rsid w:val="000B7DAF"/>
    <w:rsid w:val="000B7F09"/>
    <w:rsid w:val="000C0248"/>
    <w:rsid w:val="000C039F"/>
    <w:rsid w:val="000C04CB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4E4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0806"/>
    <w:rsid w:val="000E1756"/>
    <w:rsid w:val="000E1A4F"/>
    <w:rsid w:val="000E1F5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930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101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999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15C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29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3D1C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88C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6B74"/>
    <w:rsid w:val="001C7271"/>
    <w:rsid w:val="001C7713"/>
    <w:rsid w:val="001D01F9"/>
    <w:rsid w:val="001D1234"/>
    <w:rsid w:val="001D16B2"/>
    <w:rsid w:val="001D16EA"/>
    <w:rsid w:val="001D1FA3"/>
    <w:rsid w:val="001D275A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A93"/>
    <w:rsid w:val="001D7CCC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AFA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086B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287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4F61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2BC2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6C47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40A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1F53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4CD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3F02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B33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1F04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449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68C8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03C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0F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0D3"/>
    <w:rsid w:val="00347F68"/>
    <w:rsid w:val="0035074E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6F7C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39D6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7E2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93C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49C7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6F0"/>
    <w:rsid w:val="003E2B99"/>
    <w:rsid w:val="003E445E"/>
    <w:rsid w:val="003E46D9"/>
    <w:rsid w:val="003E47CA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5D9"/>
    <w:rsid w:val="00400B56"/>
    <w:rsid w:val="0040233C"/>
    <w:rsid w:val="00402BF8"/>
    <w:rsid w:val="00403980"/>
    <w:rsid w:val="00404131"/>
    <w:rsid w:val="0040415D"/>
    <w:rsid w:val="00404564"/>
    <w:rsid w:val="004048EE"/>
    <w:rsid w:val="00404B52"/>
    <w:rsid w:val="00404E54"/>
    <w:rsid w:val="00405C68"/>
    <w:rsid w:val="00405D25"/>
    <w:rsid w:val="004062EF"/>
    <w:rsid w:val="00407182"/>
    <w:rsid w:val="0041087F"/>
    <w:rsid w:val="0041189D"/>
    <w:rsid w:val="00411D48"/>
    <w:rsid w:val="00413807"/>
    <w:rsid w:val="00413C8C"/>
    <w:rsid w:val="00413D50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5BFA"/>
    <w:rsid w:val="004663F6"/>
    <w:rsid w:val="00466671"/>
    <w:rsid w:val="00466850"/>
    <w:rsid w:val="00466C7B"/>
    <w:rsid w:val="00467976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9FC"/>
    <w:rsid w:val="00495ACF"/>
    <w:rsid w:val="004960B3"/>
    <w:rsid w:val="004960FA"/>
    <w:rsid w:val="004964A6"/>
    <w:rsid w:val="00496FE9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3DC3"/>
    <w:rsid w:val="004A41BB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5EAA"/>
    <w:rsid w:val="004B63B3"/>
    <w:rsid w:val="004B6C0E"/>
    <w:rsid w:val="004B6C4D"/>
    <w:rsid w:val="004B7D86"/>
    <w:rsid w:val="004C0FB1"/>
    <w:rsid w:val="004C1069"/>
    <w:rsid w:val="004C1933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C7982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6C82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495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5FD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5DE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74B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6C4"/>
    <w:rsid w:val="005728CE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5D4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8F3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AD6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05E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20B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46C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4EAF"/>
    <w:rsid w:val="00615B89"/>
    <w:rsid w:val="00615FE9"/>
    <w:rsid w:val="00616520"/>
    <w:rsid w:val="00616F15"/>
    <w:rsid w:val="00617578"/>
    <w:rsid w:val="00617FAC"/>
    <w:rsid w:val="00620552"/>
    <w:rsid w:val="00620A28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688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11A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894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4C2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37E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EA9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D0F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03DF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0E9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3E84"/>
    <w:rsid w:val="007346E5"/>
    <w:rsid w:val="007348BD"/>
    <w:rsid w:val="007349D2"/>
    <w:rsid w:val="007352B2"/>
    <w:rsid w:val="0073632F"/>
    <w:rsid w:val="0073695E"/>
    <w:rsid w:val="00736F39"/>
    <w:rsid w:val="00737ADB"/>
    <w:rsid w:val="00737C8A"/>
    <w:rsid w:val="00737E27"/>
    <w:rsid w:val="007404C9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3AD3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199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5EE9"/>
    <w:rsid w:val="0078615E"/>
    <w:rsid w:val="007865F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6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754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0F8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8A8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CDC"/>
    <w:rsid w:val="00870E77"/>
    <w:rsid w:val="00871478"/>
    <w:rsid w:val="00871595"/>
    <w:rsid w:val="00871B00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3F6"/>
    <w:rsid w:val="00880DEE"/>
    <w:rsid w:val="00881178"/>
    <w:rsid w:val="0088149B"/>
    <w:rsid w:val="0088170E"/>
    <w:rsid w:val="00881B14"/>
    <w:rsid w:val="00882222"/>
    <w:rsid w:val="0088238E"/>
    <w:rsid w:val="0088320A"/>
    <w:rsid w:val="008832A9"/>
    <w:rsid w:val="00883300"/>
    <w:rsid w:val="00883A9B"/>
    <w:rsid w:val="00883D06"/>
    <w:rsid w:val="00883ED1"/>
    <w:rsid w:val="0088440E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6FAD"/>
    <w:rsid w:val="00887F5E"/>
    <w:rsid w:val="00890111"/>
    <w:rsid w:val="00890117"/>
    <w:rsid w:val="008909FB"/>
    <w:rsid w:val="00890D97"/>
    <w:rsid w:val="0089172A"/>
    <w:rsid w:val="00891F43"/>
    <w:rsid w:val="0089209D"/>
    <w:rsid w:val="008920F8"/>
    <w:rsid w:val="0089231C"/>
    <w:rsid w:val="008929B1"/>
    <w:rsid w:val="00892E17"/>
    <w:rsid w:val="00892E50"/>
    <w:rsid w:val="00894182"/>
    <w:rsid w:val="008942AA"/>
    <w:rsid w:val="00895161"/>
    <w:rsid w:val="00896190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2DC"/>
    <w:rsid w:val="008B143B"/>
    <w:rsid w:val="008B1F7D"/>
    <w:rsid w:val="008B2A95"/>
    <w:rsid w:val="008B2C12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70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311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A44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B6"/>
    <w:rsid w:val="00923BCB"/>
    <w:rsid w:val="00923F59"/>
    <w:rsid w:val="00923F8A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1C7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807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1F60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46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76A"/>
    <w:rsid w:val="00987BF4"/>
    <w:rsid w:val="00987DF3"/>
    <w:rsid w:val="009903AC"/>
    <w:rsid w:val="0099086B"/>
    <w:rsid w:val="00990A95"/>
    <w:rsid w:val="0099122F"/>
    <w:rsid w:val="009913F8"/>
    <w:rsid w:val="00991C21"/>
    <w:rsid w:val="00993A68"/>
    <w:rsid w:val="00993EB7"/>
    <w:rsid w:val="00993F92"/>
    <w:rsid w:val="009958F5"/>
    <w:rsid w:val="00995936"/>
    <w:rsid w:val="00995D8B"/>
    <w:rsid w:val="00996137"/>
    <w:rsid w:val="009965D0"/>
    <w:rsid w:val="00996A00"/>
    <w:rsid w:val="00996DBF"/>
    <w:rsid w:val="00996DF9"/>
    <w:rsid w:val="00997FF0"/>
    <w:rsid w:val="009A0142"/>
    <w:rsid w:val="009A01CC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83C"/>
    <w:rsid w:val="009A3A32"/>
    <w:rsid w:val="009A3B6B"/>
    <w:rsid w:val="009A3C99"/>
    <w:rsid w:val="009A424F"/>
    <w:rsid w:val="009A4307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4A25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83F"/>
    <w:rsid w:val="009F29EE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0C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8F3"/>
    <w:rsid w:val="00A1594A"/>
    <w:rsid w:val="00A15FF7"/>
    <w:rsid w:val="00A16097"/>
    <w:rsid w:val="00A16616"/>
    <w:rsid w:val="00A169B9"/>
    <w:rsid w:val="00A16D8C"/>
    <w:rsid w:val="00A16FD2"/>
    <w:rsid w:val="00A17551"/>
    <w:rsid w:val="00A17863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1A9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08AA"/>
    <w:rsid w:val="00A81AFA"/>
    <w:rsid w:val="00A81DDE"/>
    <w:rsid w:val="00A82259"/>
    <w:rsid w:val="00A8226C"/>
    <w:rsid w:val="00A82491"/>
    <w:rsid w:val="00A82D9A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BF1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96B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60E1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3A84"/>
    <w:rsid w:val="00AD4089"/>
    <w:rsid w:val="00AD512A"/>
    <w:rsid w:val="00AD514C"/>
    <w:rsid w:val="00AD5431"/>
    <w:rsid w:val="00AD5BF6"/>
    <w:rsid w:val="00AD5F39"/>
    <w:rsid w:val="00AD5FE3"/>
    <w:rsid w:val="00AD6957"/>
    <w:rsid w:val="00AD6A99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2D7C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0228"/>
    <w:rsid w:val="00AF12AE"/>
    <w:rsid w:val="00AF1D3B"/>
    <w:rsid w:val="00AF1E41"/>
    <w:rsid w:val="00AF1F52"/>
    <w:rsid w:val="00AF1F97"/>
    <w:rsid w:val="00AF2140"/>
    <w:rsid w:val="00AF219C"/>
    <w:rsid w:val="00AF225C"/>
    <w:rsid w:val="00AF2A1E"/>
    <w:rsid w:val="00AF3154"/>
    <w:rsid w:val="00AF31DA"/>
    <w:rsid w:val="00AF3B78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A96"/>
    <w:rsid w:val="00B01B7B"/>
    <w:rsid w:val="00B01E7D"/>
    <w:rsid w:val="00B023AD"/>
    <w:rsid w:val="00B02866"/>
    <w:rsid w:val="00B02A60"/>
    <w:rsid w:val="00B03289"/>
    <w:rsid w:val="00B0328A"/>
    <w:rsid w:val="00B0329C"/>
    <w:rsid w:val="00B037CB"/>
    <w:rsid w:val="00B0383B"/>
    <w:rsid w:val="00B0402E"/>
    <w:rsid w:val="00B05F07"/>
    <w:rsid w:val="00B06B65"/>
    <w:rsid w:val="00B06C00"/>
    <w:rsid w:val="00B07044"/>
    <w:rsid w:val="00B07062"/>
    <w:rsid w:val="00B07317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17883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6D3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4DD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381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13C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38E7"/>
    <w:rsid w:val="00BE4178"/>
    <w:rsid w:val="00BE427E"/>
    <w:rsid w:val="00BE45E2"/>
    <w:rsid w:val="00BE48E6"/>
    <w:rsid w:val="00BE538E"/>
    <w:rsid w:val="00BE5654"/>
    <w:rsid w:val="00BE5724"/>
    <w:rsid w:val="00BE5983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28A9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AED"/>
    <w:rsid w:val="00C25E88"/>
    <w:rsid w:val="00C26676"/>
    <w:rsid w:val="00C266D8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2E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46D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933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280A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67CB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B83"/>
    <w:rsid w:val="00CA5CF1"/>
    <w:rsid w:val="00CA6309"/>
    <w:rsid w:val="00CA7496"/>
    <w:rsid w:val="00CB01ED"/>
    <w:rsid w:val="00CB05A6"/>
    <w:rsid w:val="00CB0B3C"/>
    <w:rsid w:val="00CB110E"/>
    <w:rsid w:val="00CB1DAD"/>
    <w:rsid w:val="00CB238B"/>
    <w:rsid w:val="00CB2DD4"/>
    <w:rsid w:val="00CB34CA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C9C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085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99C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934"/>
    <w:rsid w:val="00D06BD6"/>
    <w:rsid w:val="00D07369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348F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17EF4"/>
    <w:rsid w:val="00D2049F"/>
    <w:rsid w:val="00D20C5D"/>
    <w:rsid w:val="00D20EEF"/>
    <w:rsid w:val="00D215F1"/>
    <w:rsid w:val="00D22386"/>
    <w:rsid w:val="00D22575"/>
    <w:rsid w:val="00D2275C"/>
    <w:rsid w:val="00D228B6"/>
    <w:rsid w:val="00D23179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68B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750"/>
    <w:rsid w:val="00D43CE2"/>
    <w:rsid w:val="00D44210"/>
    <w:rsid w:val="00D444AD"/>
    <w:rsid w:val="00D44717"/>
    <w:rsid w:val="00D44EAE"/>
    <w:rsid w:val="00D45DF1"/>
    <w:rsid w:val="00D46207"/>
    <w:rsid w:val="00D4670B"/>
    <w:rsid w:val="00D46CB0"/>
    <w:rsid w:val="00D46F49"/>
    <w:rsid w:val="00D472CE"/>
    <w:rsid w:val="00D475A7"/>
    <w:rsid w:val="00D47832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53E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598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6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AF8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563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5BCC"/>
    <w:rsid w:val="00DC63B2"/>
    <w:rsid w:val="00DC6699"/>
    <w:rsid w:val="00DC6C8E"/>
    <w:rsid w:val="00DC6FAB"/>
    <w:rsid w:val="00DC7100"/>
    <w:rsid w:val="00DC717F"/>
    <w:rsid w:val="00DC73CA"/>
    <w:rsid w:val="00DC7AAC"/>
    <w:rsid w:val="00DC7EBB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150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1EE3"/>
    <w:rsid w:val="00E12683"/>
    <w:rsid w:val="00E12983"/>
    <w:rsid w:val="00E12A8E"/>
    <w:rsid w:val="00E12D47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E6B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0CB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EDC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DF2"/>
    <w:rsid w:val="00E85E0C"/>
    <w:rsid w:val="00E862EB"/>
    <w:rsid w:val="00E86454"/>
    <w:rsid w:val="00E864C3"/>
    <w:rsid w:val="00E870AA"/>
    <w:rsid w:val="00E878EB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4ADF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1AF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555D"/>
    <w:rsid w:val="00EA5688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149"/>
    <w:rsid w:val="00EB3427"/>
    <w:rsid w:val="00EB3951"/>
    <w:rsid w:val="00EB3E4C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B7D3B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438"/>
    <w:rsid w:val="00EC6524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C7A5D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A60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2AAD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741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2DD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054C"/>
    <w:rsid w:val="00F507EF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454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0D3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6369"/>
    <w:rsid w:val="00FC71E1"/>
    <w:rsid w:val="00FC74C8"/>
    <w:rsid w:val="00FC798E"/>
    <w:rsid w:val="00FD0F00"/>
    <w:rsid w:val="00FD10DC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DBC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80F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C3741F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495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1887"/>
    <w:rPr>
      <w:color w:val="605E5C"/>
      <w:shd w:val="clear" w:color="auto" w:fill="E1DFDD"/>
    </w:rPr>
  </w:style>
  <w:style w:type="paragraph" w:customStyle="1" w:styleId="elenchinumerati">
    <w:name w:val="elenchi numerati"/>
    <w:basedOn w:val="Normale"/>
    <w:qFormat/>
    <w:rsid w:val="004959FC"/>
    <w:pPr>
      <w:numPr>
        <w:numId w:val="30"/>
      </w:numPr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spacing w:line="276" w:lineRule="auto"/>
      <w:jc w:val="both"/>
    </w:pPr>
    <w:rPr>
      <w:rFonts w:ascii="Garamond" w:eastAsia="Avenir Book" w:hAnsi="Garamond"/>
      <w:color w:val="000000"/>
      <w:szCs w:val="24"/>
      <w:u w:color="000000"/>
      <w:bdr w:val="nil"/>
    </w:rPr>
  </w:style>
  <w:style w:type="character" w:customStyle="1" w:styleId="Titolo3Carattere">
    <w:name w:val="Titolo 3 Carattere"/>
    <w:basedOn w:val="Carpredefinitoparagrafo"/>
    <w:link w:val="Titolo3"/>
    <w:rsid w:val="00495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ibliografia">
    <w:name w:val="bibliografia"/>
    <w:basedOn w:val="Normale"/>
    <w:qFormat/>
    <w:rsid w:val="00B824DD"/>
    <w:pPr>
      <w:overflowPunct/>
      <w:autoSpaceDE/>
      <w:autoSpaceDN/>
      <w:adjustRightInd/>
      <w:spacing w:line="480" w:lineRule="exact"/>
      <w:ind w:left="567" w:hanging="567"/>
      <w:jc w:val="both"/>
    </w:pPr>
    <w:rPr>
      <w:rFonts w:ascii="Didot" w:eastAsiaTheme="minorHAnsi" w:hAnsi="Didot" w:cstheme="majorHAnsi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0CC-E3C5-44C2-BBE2-23B57FF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C:\Users\uo_did_napoli_lelia\Downloads\carta intestata.dotx</Template>
  <TotalTime>12</TotalTime>
  <Pages>3</Pages>
  <Words>730</Words>
  <Characters>4150</Characters>
  <Application>Microsoft Office Word</Application>
  <DocSecurity>0</DocSecurity>
  <Lines>56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Giuliano De Felice</cp:lastModifiedBy>
  <cp:revision>17</cp:revision>
  <cp:lastPrinted>2021-07-08T14:08:00Z</cp:lastPrinted>
  <dcterms:created xsi:type="dcterms:W3CDTF">2023-06-11T08:21:00Z</dcterms:created>
  <dcterms:modified xsi:type="dcterms:W3CDTF">2023-06-11T15:19:00Z</dcterms:modified>
</cp:coreProperties>
</file>