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3283"/>
        <w:gridCol w:w="2319"/>
        <w:gridCol w:w="1460"/>
      </w:tblGrid>
      <w:tr w:rsidR="007D5723" w14:paraId="73E8D603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8B45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A857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</w:p>
        </w:tc>
      </w:tr>
      <w:tr w:rsidR="007D5723" w14:paraId="495F4AD6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2B13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46A6" w14:textId="258D5FD6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</w:rPr>
              <w:t>Matematica per l’Economia</w:t>
            </w:r>
            <w:r w:rsidR="000E62F7">
              <w:rPr>
                <w:rFonts w:ascii="Gill Sans MT" w:hAnsi="Gill Sans MT"/>
              </w:rPr>
              <w:t xml:space="preserve">    </w:t>
            </w:r>
          </w:p>
        </w:tc>
      </w:tr>
      <w:tr w:rsidR="007D5723" w14:paraId="4276CDF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C962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studio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A60B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Marketing e Comunicazione d’Azienda</w:t>
            </w:r>
          </w:p>
        </w:tc>
      </w:tr>
      <w:tr w:rsidR="007D5723" w14:paraId="29491130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1C27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Crediti formativi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FBAD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7D5723" w14:paraId="1F028275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2325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Denominazione inglese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31EF" w14:textId="77777777" w:rsidR="007D5723" w:rsidRDefault="007F52E1">
            <w:pPr>
              <w:pStyle w:val="Standard"/>
              <w:snapToGrid w:val="0"/>
              <w:spacing w:after="0"/>
            </w:pPr>
            <w:proofErr w:type="spellStart"/>
            <w:r>
              <w:rPr>
                <w:rFonts w:ascii="Gill Sans MT" w:hAnsi="Gill Sans MT"/>
              </w:rPr>
              <w:t>Mathematics</w:t>
            </w:r>
            <w:proofErr w:type="spellEnd"/>
            <w:r>
              <w:rPr>
                <w:rFonts w:ascii="Gill Sans MT" w:hAnsi="Gill Sans MT"/>
              </w:rPr>
              <w:t xml:space="preserve"> for </w:t>
            </w:r>
            <w:proofErr w:type="spellStart"/>
            <w:r>
              <w:rPr>
                <w:rFonts w:ascii="Gill Sans MT" w:hAnsi="Gill Sans MT"/>
              </w:rPr>
              <w:t>economics</w:t>
            </w:r>
            <w:proofErr w:type="spellEnd"/>
          </w:p>
        </w:tc>
      </w:tr>
      <w:tr w:rsidR="007D5723" w14:paraId="4107E902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73E2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Obbligo di frequenza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737B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7D5723" w14:paraId="5BAF30F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DBD3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Lingua di erogazione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0F49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E62F7" w14:paraId="44E1F0FD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E620" w14:textId="0CEA133D" w:rsidR="000E62F7" w:rsidRPr="000E62F7" w:rsidRDefault="000E62F7">
            <w:pPr>
              <w:pStyle w:val="Standard"/>
              <w:snapToGrid w:val="0"/>
              <w:spacing w:after="0"/>
              <w:rPr>
                <w:rFonts w:ascii="Gill Sans MT" w:hAnsi="Gill Sans MT"/>
                <w:b/>
                <w:bCs/>
              </w:rPr>
            </w:pPr>
            <w:r w:rsidRPr="000E62F7">
              <w:rPr>
                <w:rFonts w:ascii="Gill Sans MT" w:hAnsi="Gill Sans MT"/>
                <w:b/>
                <w:bCs/>
              </w:rPr>
              <w:t>Denominazione</w:t>
            </w:r>
            <w:r>
              <w:rPr>
                <w:rFonts w:ascii="Gill Sans MT" w:hAnsi="Gill Sans MT"/>
                <w:b/>
                <w:bCs/>
              </w:rPr>
              <w:t xml:space="preserve"> e codice della</w:t>
            </w:r>
            <w:r w:rsidRPr="000E62F7">
              <w:rPr>
                <w:rFonts w:ascii="Gill Sans MT" w:hAnsi="Gill Sans MT"/>
                <w:b/>
                <w:bCs/>
              </w:rPr>
              <w:t xml:space="preserve"> classe</w:t>
            </w:r>
            <w:r>
              <w:rPr>
                <w:rFonts w:ascii="Gill Sans MT" w:hAnsi="Gill Sans MT"/>
                <w:b/>
                <w:bCs/>
              </w:rPr>
              <w:t xml:space="preserve"> su</w:t>
            </w:r>
            <w:r w:rsidRPr="000E62F7">
              <w:rPr>
                <w:rFonts w:ascii="Gill Sans MT" w:hAnsi="Gill Sans MT"/>
                <w:b/>
                <w:bCs/>
              </w:rPr>
              <w:t xml:space="preserve"> Teams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3F01" w14:textId="1F7AB130" w:rsidR="000E62F7" w:rsidRDefault="000E62F7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Matematica per l’economia A-K  MCA   codice  </w:t>
            </w:r>
            <w:r w:rsidRPr="000E62F7">
              <w:rPr>
                <w:rFonts w:ascii="Segoe UI" w:hAnsi="Segoe UI" w:cs="Segoe UI"/>
                <w:b/>
                <w:bCs/>
                <w:color w:val="252423"/>
                <w:sz w:val="24"/>
                <w:szCs w:val="24"/>
                <w:shd w:val="clear" w:color="auto" w:fill="FFFFFF"/>
              </w:rPr>
              <w:t>g2u0aoa</w:t>
            </w:r>
          </w:p>
        </w:tc>
      </w:tr>
      <w:tr w:rsidR="007D5723" w14:paraId="4B2D9CF1" w14:textId="77777777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796E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6626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</w:tr>
      <w:tr w:rsidR="007D5723" w14:paraId="7C2525A3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9AED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339D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 Cognome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ECBE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Mail</w:t>
            </w:r>
          </w:p>
        </w:tc>
      </w:tr>
      <w:tr w:rsidR="007D5723" w14:paraId="213CF015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DEA5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204F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2B4D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sabrina.diomede@uniba.it</w:t>
            </w:r>
          </w:p>
        </w:tc>
      </w:tr>
      <w:tr w:rsidR="007D5723" w14:paraId="7670B8C5" w14:textId="77777777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1791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E985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76F8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F86A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D5723" w14:paraId="40D85A3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5B98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C423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Ambito disciplinare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5E76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SSD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B65A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Crediti</w:t>
            </w:r>
          </w:p>
        </w:tc>
      </w:tr>
      <w:tr w:rsidR="007D5723" w14:paraId="153F978D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8AD6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01D0" w14:textId="77777777" w:rsidR="007D5723" w:rsidRDefault="007F52E1">
            <w:pPr>
              <w:pStyle w:val="Standard"/>
              <w:snapToGri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Matematico-statistico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931B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71A" w14:textId="77777777" w:rsidR="007D5723" w:rsidRDefault="007F52E1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7D5723" w14:paraId="480ED907" w14:textId="77777777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AD4D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3BD6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6AEB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7B9B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D5723" w14:paraId="2A4A36A0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B4B6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9BC8" w14:textId="77777777" w:rsidR="007D5723" w:rsidRDefault="007D5723">
            <w:pPr>
              <w:pStyle w:val="Standard"/>
              <w:snapToGrid w:val="0"/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D5723" w14:paraId="33CEDE27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7269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Periodo di erogazione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21A1" w14:textId="77777777" w:rsidR="007D5723" w:rsidRDefault="007F52E1">
            <w:pPr>
              <w:pStyle w:val="Standard"/>
              <w:snapToGrid w:val="0"/>
              <w:spacing w:after="0"/>
              <w:jc w:val="both"/>
            </w:pPr>
            <w:r>
              <w:rPr>
                <w:rFonts w:ascii="Gill Sans MT" w:hAnsi="Gill Sans MT"/>
              </w:rPr>
              <w:t xml:space="preserve"> </w:t>
            </w:r>
            <w:proofErr w:type="gramStart"/>
            <w:r>
              <w:rPr>
                <w:rFonts w:ascii="Gill Sans MT" w:hAnsi="Gill Sans MT"/>
              </w:rPr>
              <w:t>I semestre</w:t>
            </w:r>
            <w:proofErr w:type="gramEnd"/>
          </w:p>
        </w:tc>
      </w:tr>
      <w:tr w:rsidR="007D5723" w14:paraId="00846C1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4EA5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di corso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C691" w14:textId="77777777" w:rsidR="007D5723" w:rsidRDefault="007F52E1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7D5723" w14:paraId="13651938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5A4A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CD35" w14:textId="77777777" w:rsidR="007D5723" w:rsidRDefault="007F52E1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</w:p>
          <w:p w14:paraId="47654717" w14:textId="77777777" w:rsidR="007D5723" w:rsidRDefault="007D5723">
            <w:pPr>
              <w:pStyle w:val="Standard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0088350E" w14:textId="77777777">
        <w:tc>
          <w:tcPr>
            <w:tcW w:w="28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4759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D82F" w14:textId="77777777" w:rsidR="007D5723" w:rsidRDefault="007D5723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13B53BC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137C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Organizzazione della didattica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34C5" w14:textId="77777777" w:rsidR="007D5723" w:rsidRDefault="007D5723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3875072F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CD93" w14:textId="77777777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</w:rPr>
              <w:t>Ore totali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5509" w14:textId="70D2E383" w:rsidR="007D5723" w:rsidRDefault="003D6FD7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7F52E1">
              <w:rPr>
                <w:rFonts w:ascii="Gill Sans MT" w:hAnsi="Gill Sans MT"/>
              </w:rPr>
              <w:t>0</w:t>
            </w:r>
          </w:p>
        </w:tc>
      </w:tr>
      <w:tr w:rsidR="007D5723" w14:paraId="5253053C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6E26" w14:textId="77777777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</w:rPr>
              <w:t>Ore di lezioni frontali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A8AE" w14:textId="70A9E5D7" w:rsidR="007D5723" w:rsidRDefault="003D6FD7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  <w:r w:rsidR="007F52E1">
              <w:rPr>
                <w:rFonts w:ascii="Gill Sans MT" w:hAnsi="Gill Sans MT"/>
              </w:rPr>
              <w:t>0</w:t>
            </w:r>
          </w:p>
        </w:tc>
      </w:tr>
      <w:tr w:rsidR="007D5723" w14:paraId="1F58D8A7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A976" w14:textId="77777777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</w:rPr>
              <w:t>Ore di esercitazioni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E577" w14:textId="77777777" w:rsidR="007D5723" w:rsidRDefault="007F52E1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7D5723" w14:paraId="224AA7E1" w14:textId="77777777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5104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D1D4" w14:textId="77777777" w:rsidR="007D5723" w:rsidRDefault="007D5723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0829A49B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31F1" w14:textId="77777777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  <w:b/>
              </w:rPr>
              <w:t>C</w:t>
            </w:r>
            <w:r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9DCE" w14:textId="77777777" w:rsidR="007D5723" w:rsidRDefault="007D5723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5C3A9D4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8DB3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D921" w14:textId="5CC444F6" w:rsidR="007D5723" w:rsidRDefault="000E62F7">
            <w:pPr>
              <w:pStyle w:val="Standard"/>
              <w:snapToGrid w:val="0"/>
              <w:spacing w:after="0"/>
              <w:jc w:val="both"/>
            </w:pPr>
            <w:r>
              <w:rPr>
                <w:rFonts w:ascii="Gill Sans MT" w:hAnsi="Gill Sans MT"/>
              </w:rPr>
              <w:t>10</w:t>
            </w:r>
            <w:r w:rsidR="007F52E1">
              <w:rPr>
                <w:rFonts w:ascii="Gill Sans MT" w:hAnsi="Gill Sans MT"/>
              </w:rPr>
              <w:t>/20</w:t>
            </w:r>
            <w:r>
              <w:rPr>
                <w:rFonts w:ascii="Gill Sans MT" w:hAnsi="Gill Sans MT"/>
              </w:rPr>
              <w:t>20</w:t>
            </w:r>
          </w:p>
        </w:tc>
      </w:tr>
      <w:tr w:rsidR="007D5723" w14:paraId="54B14636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9CC4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E677" w14:textId="70966941" w:rsidR="007D5723" w:rsidRDefault="007D5723">
            <w:pPr>
              <w:pStyle w:val="Standard"/>
              <w:snapToGrid w:val="0"/>
              <w:spacing w:after="0"/>
              <w:jc w:val="both"/>
            </w:pPr>
          </w:p>
        </w:tc>
      </w:tr>
      <w:tr w:rsidR="007D5723" w14:paraId="23D41F95" w14:textId="77777777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5D82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208A" w14:textId="77777777" w:rsidR="007D5723" w:rsidRDefault="007D5723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756474C0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5B9E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70A1" w14:textId="77777777" w:rsidR="007D5723" w:rsidRDefault="007D5723">
            <w:pPr>
              <w:pStyle w:val="Standard"/>
              <w:snapToGrid w:val="0"/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D5723" w14:paraId="63510E22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E6A8" w14:textId="77777777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</w:rPr>
              <w:t xml:space="preserve">Prerequisiti:  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8D15" w14:textId="77777777" w:rsidR="007D5723" w:rsidRDefault="007F52E1">
            <w:pPr>
              <w:pStyle w:val="Standard"/>
              <w:snapToGrid w:val="0"/>
              <w:spacing w:after="0"/>
            </w:pPr>
            <w:r>
              <w:t>Calcolo algebrico, operazioni e fattorizzazione di polinomi. Equazioni e disequazioni algebriche di primo e secondo grado</w:t>
            </w:r>
          </w:p>
        </w:tc>
      </w:tr>
      <w:tr w:rsidR="007D5723" w14:paraId="50755C1F" w14:textId="77777777">
        <w:trPr>
          <w:trHeight w:val="14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E56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Risultati di apprendimento previsti</w:t>
            </w:r>
          </w:p>
          <w:p w14:paraId="5F6AC6DE" w14:textId="77777777" w:rsidR="007D5723" w:rsidRDefault="007D5723">
            <w:pPr>
              <w:pStyle w:val="Standard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1362" w14:textId="77777777" w:rsidR="007D5723" w:rsidRDefault="007F52E1">
            <w:pPr>
              <w:pStyle w:val="Grigliachiara-Colore31"/>
              <w:numPr>
                <w:ilvl w:val="0"/>
                <w:numId w:val="10"/>
              </w:numPr>
              <w:snapToGrid w:val="0"/>
              <w:spacing w:after="0" w:line="240" w:lineRule="auto"/>
              <w:ind w:left="357" w:hanging="357"/>
              <w:jc w:val="both"/>
            </w:pPr>
            <w:r>
              <w:rPr>
                <w:rFonts w:ascii="Gill Sans MT" w:hAnsi="Gill Sans MT"/>
              </w:rPr>
              <w:t xml:space="preserve">Conoscere le nozioni e i più importanti risultati del calcolo </w:t>
            </w:r>
            <w:r>
              <w:t>infinitesimale, differenziale e integrale per funzioni reali di variabile reale.</w:t>
            </w:r>
          </w:p>
          <w:p w14:paraId="4D605D2F" w14:textId="77777777" w:rsidR="007D5723" w:rsidRDefault="007F52E1">
            <w:pPr>
              <w:pStyle w:val="Grigliachiara-Colore31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</w:pPr>
            <w:r>
              <w:t>Saper riconoscere e tracciare approssimativamente il grafico di funzioni reali di variabile reale.</w:t>
            </w:r>
          </w:p>
          <w:p w14:paraId="04E3B1F7" w14:textId="77777777" w:rsidR="007D5723" w:rsidRDefault="007F52E1">
            <w:pPr>
              <w:pStyle w:val="Grigliachiara-Colore31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</w:pPr>
            <w:r>
              <w:rPr>
                <w:rFonts w:ascii="Gill Sans MT" w:hAnsi="Gill Sans MT"/>
              </w:rPr>
              <w:t>Conoscere le nozioni e i risultati più elementari del calcolo differenziale per funzioni reali sia di una sia di due variabili e saperli applicare a concetti dell’economia e a semplici problemi economici di ottimizzazione.</w:t>
            </w:r>
          </w:p>
          <w:p w14:paraId="2E2EF4B3" w14:textId="77777777" w:rsidR="007D5723" w:rsidRDefault="007F52E1">
            <w:pPr>
              <w:pStyle w:val="Grigliachiara-Colore31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</w:pPr>
            <w:r>
              <w:t>Saper utilizzare gli strumenti matematici più frequentemente impiegati in discipline a carattere quantitativo quali l’economia, la statistica, la finanza</w:t>
            </w:r>
          </w:p>
          <w:p w14:paraId="5A6E31B2" w14:textId="77777777" w:rsidR="007D5723" w:rsidRDefault="007F52E1">
            <w:pPr>
              <w:pStyle w:val="Grigliachiara-Colore31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</w:pPr>
            <w:r>
              <w:t>Saper illustrare e comunicare informazioni di carattere qualitativo e quantitativo in discipline di tipo economico mediante strumenti matematici.</w:t>
            </w:r>
          </w:p>
        </w:tc>
      </w:tr>
      <w:tr w:rsidR="007D5723" w14:paraId="6C4FAC6F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DEAA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EB95" w14:textId="77777777" w:rsidR="007D5723" w:rsidRDefault="007F52E1">
            <w:pPr>
              <w:pStyle w:val="Standard"/>
              <w:snapToGrid w:val="0"/>
              <w:spacing w:line="240" w:lineRule="auto"/>
            </w:pPr>
            <w:r>
              <w:t>Calcolo infinitesimale, differenziale, integrale per funzioni reali di variabile reale; cenni di calcolo differenziale per funzioni di due variabili. Applicazioni economiche.</w:t>
            </w:r>
          </w:p>
        </w:tc>
      </w:tr>
      <w:tr w:rsidR="007D5723" w14:paraId="41C19B5E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2186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ED9F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</w:tr>
      <w:tr w:rsidR="007D5723" w14:paraId="6CEAFC97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E3D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82E1" w14:textId="77777777" w:rsidR="007D5723" w:rsidRDefault="007F52E1">
            <w:pPr>
              <w:pStyle w:val="Standard"/>
              <w:snapToGrid w:val="0"/>
              <w:spacing w:after="0" w:line="240" w:lineRule="auto"/>
            </w:pPr>
            <w:r>
              <w:t xml:space="preserve">1. </w:t>
            </w:r>
            <w:r>
              <w:rPr>
                <w:b/>
              </w:rPr>
              <w:t>Cenni di teoria degli insiemi</w:t>
            </w:r>
            <w:r>
              <w:t>. Operazioni fra insiemi.</w:t>
            </w:r>
          </w:p>
          <w:p w14:paraId="7C0BA79C" w14:textId="77777777" w:rsidR="007D5723" w:rsidRDefault="007F52E1">
            <w:pPr>
              <w:pStyle w:val="Standard"/>
              <w:spacing w:after="0" w:line="240" w:lineRule="auto"/>
            </w:pPr>
            <w:r>
              <w:t xml:space="preserve">2. </w:t>
            </w:r>
            <w:r>
              <w:rPr>
                <w:b/>
              </w:rPr>
              <w:t>Le funzioni</w:t>
            </w:r>
            <w:r>
              <w:t xml:space="preserve">. Funzioni </w:t>
            </w:r>
            <w:proofErr w:type="spellStart"/>
            <w:r>
              <w:t>ingettive</w:t>
            </w:r>
            <w:proofErr w:type="spellEnd"/>
            <w:r>
              <w:t>, surgettive, bigettive. Funzioni invertibili, funzione inversa di una funzione invertibile. Restrizioni e prolungamenti di funzioni. Funzioni composte.</w:t>
            </w:r>
          </w:p>
          <w:p w14:paraId="6629FC83" w14:textId="77777777" w:rsidR="007D5723" w:rsidRDefault="007F52E1">
            <w:pPr>
              <w:pStyle w:val="Standard"/>
              <w:spacing w:after="0" w:line="240" w:lineRule="auto"/>
            </w:pPr>
            <w:r>
              <w:rPr>
                <w:b/>
              </w:rPr>
              <w:t>3.Insiemi numerici</w:t>
            </w:r>
            <w:r>
              <w:t xml:space="preserve"> Intervalli di R. Minimo, massimo, minoranti, maggioranti, estremi inferiore e superiore di insiemi numerici. Insiemi separati e insiemi contigui.</w:t>
            </w:r>
          </w:p>
          <w:p w14:paraId="73C91CB5" w14:textId="77777777" w:rsidR="007D5723" w:rsidRDefault="007F52E1">
            <w:pPr>
              <w:pStyle w:val="Standard"/>
              <w:spacing w:after="0" w:line="240" w:lineRule="auto"/>
            </w:pPr>
            <w:r>
              <w:t xml:space="preserve">4. </w:t>
            </w:r>
            <w:r>
              <w:rPr>
                <w:b/>
              </w:rPr>
              <w:t>Funzioni reali di una variabile reale</w:t>
            </w:r>
            <w:r>
              <w:t xml:space="preserve">. Grafico di una funzione reale. Polinomi, principio di identità dei polinomi. Successioni di numeri reali. Il numero di Nepero. Minimo e massimo di funzioni. Limitatezza, estremo superiore </w:t>
            </w:r>
            <w:proofErr w:type="spellStart"/>
            <w:r>
              <w:t>ed</w:t>
            </w:r>
            <w:proofErr w:type="spellEnd"/>
            <w:r>
              <w:t xml:space="preserve"> inferiore di funzioni. Funzioni monotone, convesse, simmetriche, periodiche. Funzioni lineari: applicazioni economiche. Le funzioni elementari.</w:t>
            </w:r>
          </w:p>
          <w:p w14:paraId="055F33E8" w14:textId="77777777" w:rsidR="007D5723" w:rsidRDefault="007F52E1">
            <w:pPr>
              <w:pStyle w:val="Standard"/>
              <w:spacing w:after="0" w:line="240" w:lineRule="auto"/>
            </w:pPr>
            <w:r>
              <w:t xml:space="preserve">5. </w:t>
            </w:r>
            <w:r>
              <w:rPr>
                <w:b/>
              </w:rPr>
              <w:t>Calcolo infinitesimale</w:t>
            </w:r>
            <w:r>
              <w:t xml:space="preserve">. Intorni di elementi di R ampliato. Punti di accumulazione. Insiemi aperti e insiemi chiusi. La nozione di limite. </w:t>
            </w:r>
            <w:r>
              <w:rPr>
                <w:u w:val="single"/>
              </w:rPr>
              <w:t>Teorema dell’unicità del limite. Teorema della permanenza del segno. Primo teorema del confronto. Teorema dei carabinieri.</w:t>
            </w:r>
            <w:r>
              <w:t xml:space="preserve"> Teorema sulle operazioni sui limiti. Limite delle funzioni composte. Limite a sinistra e limite a destra. Limiti notevoli. Funzioni continue. Operazioni fra </w:t>
            </w:r>
            <w:proofErr w:type="gramStart"/>
            <w:r>
              <w:t>funzioni  continue</w:t>
            </w:r>
            <w:proofErr w:type="gramEnd"/>
            <w:r>
              <w:t xml:space="preserve"> e continuità  delle  funzioni  composte.  </w:t>
            </w:r>
            <w:proofErr w:type="gramStart"/>
            <w:r>
              <w:t>Il  teorema</w:t>
            </w:r>
            <w:proofErr w:type="gramEnd"/>
            <w:r>
              <w:t xml:space="preserve">  di </w:t>
            </w:r>
            <w:proofErr w:type="spellStart"/>
            <w:r>
              <w:t>Weierstrass</w:t>
            </w:r>
            <w:proofErr w:type="spellEnd"/>
            <w:r>
              <w:t xml:space="preserve">. </w:t>
            </w:r>
            <w:proofErr w:type="gramStart"/>
            <w:r>
              <w:rPr>
                <w:u w:val="single"/>
              </w:rPr>
              <w:t>Il  teorema</w:t>
            </w:r>
            <w:proofErr w:type="gramEnd"/>
            <w:r>
              <w:rPr>
                <w:u w:val="single"/>
              </w:rPr>
              <w:t xml:space="preserve">  degli  zeri.  </w:t>
            </w:r>
            <w:proofErr w:type="gramStart"/>
            <w:r>
              <w:rPr>
                <w:u w:val="single"/>
              </w:rPr>
              <w:t>Il  teorema</w:t>
            </w:r>
            <w:proofErr w:type="gramEnd"/>
            <w:r>
              <w:rPr>
                <w:u w:val="single"/>
              </w:rPr>
              <w:t xml:space="preserve">  di  Bolzano</w:t>
            </w:r>
            <w:r>
              <w:t>. Discontinuità.</w:t>
            </w:r>
          </w:p>
          <w:p w14:paraId="30571157" w14:textId="77777777" w:rsidR="007D5723" w:rsidRDefault="007F52E1">
            <w:pPr>
              <w:pStyle w:val="Standard"/>
              <w:spacing w:after="0" w:line="240" w:lineRule="auto"/>
            </w:pPr>
            <w:r>
              <w:rPr>
                <w:b/>
              </w:rPr>
              <w:t>8</w:t>
            </w:r>
            <w:r>
              <w:t xml:space="preserve">. </w:t>
            </w:r>
            <w:r>
              <w:rPr>
                <w:b/>
              </w:rPr>
              <w:t>Calcolo differenziale</w:t>
            </w:r>
            <w:r>
              <w:t xml:space="preserve">. Definizione di derivata e di funzione derivabile. Derivate di ordine successivo al primo. </w:t>
            </w:r>
            <w:r>
              <w:rPr>
                <w:u w:val="single"/>
              </w:rPr>
              <w:t>Teoremi sulla continuità delle funzioni derivabili</w:t>
            </w:r>
            <w:r>
              <w:t>.</w:t>
            </w:r>
          </w:p>
          <w:p w14:paraId="17410A14" w14:textId="77777777" w:rsidR="007D5723" w:rsidRDefault="007F52E1">
            <w:pPr>
              <w:pStyle w:val="Standard"/>
              <w:spacing w:after="0" w:line="240" w:lineRule="auto"/>
            </w:pPr>
            <w:r>
              <w:t xml:space="preserve">Punti di minimo e di massimo relativo: definizione, condizioni sufficienti e </w:t>
            </w:r>
            <w:r>
              <w:rPr>
                <w:u w:val="single"/>
              </w:rPr>
              <w:t>condizioni necessarie (Teorema di Fermat)</w:t>
            </w:r>
            <w:r>
              <w:t>. Applicazioni all’economia: elasticità puntuale della domanda.</w:t>
            </w:r>
          </w:p>
          <w:p w14:paraId="352C6214" w14:textId="77777777" w:rsidR="007D5723" w:rsidRDefault="007F52E1">
            <w:pPr>
              <w:pStyle w:val="Standard"/>
              <w:spacing w:after="0" w:line="240" w:lineRule="auto"/>
            </w:pPr>
            <w:r>
              <w:rPr>
                <w:u w:val="single"/>
              </w:rPr>
              <w:t>Teorema di Lagrange e sue conseguenze. Teorema di Rolle</w:t>
            </w:r>
            <w:r>
              <w:t xml:space="preserve"> Teoremi di De L’</w:t>
            </w:r>
            <w:proofErr w:type="spellStart"/>
            <w:r>
              <w:t>Hopital</w:t>
            </w:r>
            <w:proofErr w:type="spellEnd"/>
            <w:r>
              <w:t>. Interpretazione geometrica della derivata. Punti angolosi e punti cuspidali. Rette tangenti al grafico di una funzione. Asintoti. Condizioni sulla convessità e sui punti di flesso. Studio del grafico di una funzione reale di una variabile reale.</w:t>
            </w:r>
          </w:p>
          <w:p w14:paraId="02BB77AE" w14:textId="77777777" w:rsidR="007D5723" w:rsidRDefault="007F52E1">
            <w:pPr>
              <w:pStyle w:val="Standard"/>
              <w:spacing w:line="240" w:lineRule="auto"/>
            </w:pPr>
            <w:r>
              <w:t xml:space="preserve">9 </w:t>
            </w:r>
            <w:r>
              <w:rPr>
                <w:b/>
              </w:rPr>
              <w:t>Calcolo integrale</w:t>
            </w:r>
            <w:r>
              <w:t xml:space="preserve">. Nozione di primitiva. </w:t>
            </w:r>
            <w:r>
              <w:rPr>
                <w:u w:val="single"/>
              </w:rPr>
              <w:t>Proprietà delle primitive</w:t>
            </w:r>
            <w:r>
              <w:t xml:space="preserve">. Elementi di calcolo dell’integrale indefinito. </w:t>
            </w:r>
            <w:proofErr w:type="gramStart"/>
            <w:r>
              <w:t>Definizione  di</w:t>
            </w:r>
            <w:proofErr w:type="gramEnd"/>
            <w:r>
              <w:t xml:space="preserve"> integrale  di una funzione integrabile: definizione e principali proprietà. Alcune condizioni sufficienti per la R-integrabilità. Teorema di Torricelli-Barrow, di </w:t>
            </w:r>
            <w:r>
              <w:rPr>
                <w:u w:val="single"/>
              </w:rPr>
              <w:t>esistenza delle primitive, della media integrale. Teorema fondamentale del calcolo integrale e del valor medio</w:t>
            </w:r>
            <w:r>
              <w:t>. La nozione di surplus del consumatore.</w:t>
            </w:r>
          </w:p>
        </w:tc>
      </w:tr>
      <w:tr w:rsidR="007D5723" w14:paraId="11DCB09F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1769" w14:textId="77777777" w:rsidR="007D5723" w:rsidRDefault="007F52E1">
            <w:pPr>
              <w:pStyle w:val="Standard"/>
              <w:snapToGrid w:val="0"/>
              <w:spacing w:after="0"/>
              <w:ind w:right="-945"/>
            </w:pPr>
            <w:r>
              <w:rPr>
                <w:rFonts w:ascii="Gill Sans MT" w:hAnsi="Gill Sans MT"/>
              </w:rPr>
              <w:t>Testi di riferimento: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693" w14:textId="77777777" w:rsidR="007D5723" w:rsidRDefault="007F52E1">
            <w:pPr>
              <w:pStyle w:val="Standard"/>
              <w:snapToGrid w:val="0"/>
              <w:spacing w:after="0"/>
            </w:pPr>
            <w:r>
              <w:t xml:space="preserve">L. Peccati, S. Salsa, A. </w:t>
            </w:r>
            <w:proofErr w:type="spellStart"/>
            <w:r>
              <w:t>Squellati</w:t>
            </w:r>
            <w:proofErr w:type="spellEnd"/>
            <w:r>
              <w:t>, Matematica per l’economia e l’azienda. Ed. Egea (</w:t>
            </w:r>
            <w:proofErr w:type="spellStart"/>
            <w:r>
              <w:t>Capp</w:t>
            </w:r>
            <w:proofErr w:type="spellEnd"/>
            <w:r>
              <w:t>. 1, 2, 3, 4, 5, 7 (par 1-5), 10 (par. 5, 6, 11, 12)</w:t>
            </w:r>
          </w:p>
          <w:p w14:paraId="5755CE6B" w14:textId="77777777" w:rsidR="007D5723" w:rsidRDefault="007F52E1">
            <w:pPr>
              <w:pStyle w:val="Standard"/>
              <w:spacing w:after="0"/>
            </w:pPr>
            <w:proofErr w:type="gramStart"/>
            <w:r>
              <w:t>Castellani,  Gozzi</w:t>
            </w:r>
            <w:proofErr w:type="gramEnd"/>
            <w:r>
              <w:t xml:space="preserve">, Matematica di base per l’economia e l’azienda. Esercizi e testi d'esame svolti, </w:t>
            </w:r>
            <w:proofErr w:type="spellStart"/>
            <w:r>
              <w:t>Soc</w:t>
            </w:r>
            <w:proofErr w:type="spellEnd"/>
            <w:r>
              <w:t>. ed. Esculapio.</w:t>
            </w:r>
          </w:p>
        </w:tc>
      </w:tr>
      <w:tr w:rsidR="007D5723" w14:paraId="019B3143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7DC1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595" w14:textId="77777777" w:rsidR="007D5723" w:rsidRDefault="007D5723">
            <w:pPr>
              <w:pStyle w:val="Standard"/>
              <w:snapToGrid w:val="0"/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7D5723" w14:paraId="5241ECCD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796F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Metodi didattici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639A" w14:textId="77777777" w:rsidR="007D5723" w:rsidRDefault="007F52E1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rFonts w:ascii="Gill Sans MT" w:hAnsi="Gill Sans MT"/>
              </w:rPr>
              <w:t>Lezioni frontali ed esercitazioni</w:t>
            </w:r>
          </w:p>
        </w:tc>
      </w:tr>
      <w:tr w:rsidR="007D5723" w14:paraId="230CFC5A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56DA" w14:textId="77777777" w:rsidR="007D5723" w:rsidRDefault="007F52E1">
            <w:pPr>
              <w:pStyle w:val="Standard"/>
              <w:snapToGrid w:val="0"/>
              <w:spacing w:after="0"/>
            </w:pPr>
            <w:r>
              <w:rPr>
                <w:rFonts w:ascii="Gill Sans MT" w:hAnsi="Gill Sans MT"/>
              </w:rPr>
              <w:t>Metodi di valutazione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D5FE" w14:textId="77777777" w:rsidR="007D5723" w:rsidRDefault="007F52E1">
            <w:pPr>
              <w:pStyle w:val="Standard"/>
              <w:snapToGrid w:val="0"/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L’esame si articola in:</w:t>
            </w:r>
          </w:p>
          <w:p w14:paraId="4AC44139" w14:textId="0FCD965E" w:rsidR="007D5723" w:rsidRDefault="007F52E1">
            <w:pPr>
              <w:pStyle w:val="Standard"/>
              <w:spacing w:after="0" w:line="240" w:lineRule="auto"/>
              <w:jc w:val="both"/>
            </w:pPr>
            <w:r>
              <w:rPr>
                <w:rFonts w:ascii="Gill Sans MT" w:hAnsi="Gill Sans MT"/>
              </w:rPr>
              <w:t xml:space="preserve">- prova scritta: </w:t>
            </w:r>
            <w:r w:rsidR="000E62F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 xml:space="preserve"> esercizi da svolgere in due ore; è necessario aver ottenuto </w:t>
            </w:r>
            <w:r>
              <w:rPr>
                <w:rFonts w:ascii="Gill Sans MT" w:hAnsi="Gill Sans MT"/>
              </w:rPr>
              <w:lastRenderedPageBreak/>
              <w:t>un giudizio minimo di quasi sufficiente per essere ammessi all’orale</w:t>
            </w:r>
          </w:p>
          <w:p w14:paraId="6606FA47" w14:textId="77777777" w:rsidR="007D5723" w:rsidRDefault="007F52E1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esame orale. Il non superamento dell’orale comporta che l’esame venga ripetuto integralmente.</w:t>
            </w:r>
          </w:p>
          <w:p w14:paraId="34BC5614" w14:textId="77777777" w:rsidR="007D5723" w:rsidRDefault="007D5723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383F0067" w14:textId="5D0E485F" w:rsidR="007D5723" w:rsidRDefault="007F52E1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alternativa alla prova scritta gli studenti frequentanti possono sostenere due esoneri, il superamento dei quali dà loro accesso direttamente alla prova orale, che dovrà essere sostenuta entro il mese di </w:t>
            </w:r>
            <w:proofErr w:type="gramStart"/>
            <w:r>
              <w:rPr>
                <w:rFonts w:ascii="Gill Sans MT" w:hAnsi="Gill Sans MT"/>
              </w:rPr>
              <w:t>Febbraio</w:t>
            </w:r>
            <w:proofErr w:type="gramEnd"/>
            <w:r>
              <w:rPr>
                <w:rFonts w:ascii="Gill Sans MT" w:hAnsi="Gill Sans MT"/>
              </w:rPr>
              <w:t>; in caso di non superamento dell’orale, o in caso non ci si presenti a sostenere l’orale entro febbraio, l’esame dovrà essere sostenuto ex novo, ossia superando una prova scritta ed una orale.</w:t>
            </w:r>
            <w:r w:rsidR="000E62F7">
              <w:rPr>
                <w:rFonts w:ascii="Gill Sans MT" w:hAnsi="Gill Sans MT"/>
              </w:rPr>
              <w:t xml:space="preserve"> </w:t>
            </w:r>
          </w:p>
          <w:p w14:paraId="63FF3FAA" w14:textId="77777777" w:rsidR="007D5723" w:rsidRDefault="007D5723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2163D9B1" w14:textId="647DD996" w:rsidR="007D5723" w:rsidRDefault="007F52E1" w:rsidP="000E62F7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 precisa che si potrà sostenere il primo esonero solo se si è frequentato almeno il 70% delle lezioni; </w:t>
            </w:r>
            <w:r w:rsidR="003D6FD7">
              <w:rPr>
                <w:rFonts w:ascii="Gill Sans MT" w:hAnsi="Gill Sans MT"/>
              </w:rPr>
              <w:t xml:space="preserve">le modalità di attestazione della frequenza </w:t>
            </w:r>
            <w:r w:rsidR="000E62F7">
              <w:rPr>
                <w:rFonts w:ascii="Gill Sans MT" w:hAnsi="Gill Sans MT"/>
              </w:rPr>
              <w:t>saranno stabilite e comunicate in corso d’opera</w:t>
            </w:r>
            <w:r w:rsidR="003D6FD7">
              <w:rPr>
                <w:rFonts w:ascii="Gill Sans MT" w:hAnsi="Gill Sans MT"/>
              </w:rPr>
              <w:t>.</w:t>
            </w:r>
            <w:r w:rsidR="000E62F7">
              <w:rPr>
                <w:rFonts w:ascii="Gill Sans MT" w:hAnsi="Gill Sans MT"/>
              </w:rPr>
              <w:t xml:space="preserve"> </w:t>
            </w:r>
          </w:p>
          <w:p w14:paraId="0EA31FF0" w14:textId="77777777" w:rsidR="007D5723" w:rsidRDefault="007D5723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7D5723" w14:paraId="154C2FC0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CB15" w14:textId="77777777" w:rsidR="007D5723" w:rsidRDefault="007F52E1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Criteri di valutazione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BBEB" w14:textId="77777777" w:rsidR="007D5723" w:rsidRDefault="007F52E1">
            <w:pPr>
              <w:pStyle w:val="Standard"/>
              <w:snapToGrid w:val="0"/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dovrà essere in grado di:</w:t>
            </w:r>
          </w:p>
          <w:p w14:paraId="00A617AB" w14:textId="77777777" w:rsidR="007D5723" w:rsidRDefault="007F52E1">
            <w:pPr>
              <w:pStyle w:val="Standard"/>
              <w:spacing w:after="0" w:line="240" w:lineRule="auto"/>
              <w:jc w:val="both"/>
            </w:pPr>
            <w:r>
              <w:rPr>
                <w:rFonts w:ascii="Gill Sans MT" w:hAnsi="Gill Sans MT"/>
              </w:rPr>
              <w:t>-individuare e impiegare correttamente le nozioni per la risoluzione degli esercizi.</w:t>
            </w:r>
          </w:p>
          <w:p w14:paraId="7EE6A0CE" w14:textId="77777777" w:rsidR="007D5723" w:rsidRDefault="007F52E1">
            <w:pPr>
              <w:pStyle w:val="Standard"/>
              <w:spacing w:after="0" w:line="240" w:lineRule="auto"/>
              <w:jc w:val="both"/>
            </w:pPr>
            <w:r>
              <w:rPr>
                <w:rFonts w:ascii="Gill Sans MT" w:hAnsi="Gill Sans MT"/>
              </w:rPr>
              <w:t>-argomentare correttamente laddove gli esercizi prevedono delle risposte</w:t>
            </w:r>
          </w:p>
          <w:p w14:paraId="70B40D0C" w14:textId="77777777" w:rsidR="007D5723" w:rsidRDefault="007F52E1">
            <w:pPr>
              <w:pStyle w:val="Standard"/>
              <w:spacing w:after="0" w:line="240" w:lineRule="auto"/>
              <w:jc w:val="both"/>
            </w:pPr>
            <w:r>
              <w:rPr>
                <w:rFonts w:ascii="Gill Sans MT" w:hAnsi="Gill Sans MT"/>
              </w:rPr>
              <w:t>-utilizzare propriamente il ragionamento logico-deduttivo e il linguaggio matematico</w:t>
            </w:r>
          </w:p>
          <w:p w14:paraId="466587A9" w14:textId="77777777" w:rsidR="007D5723" w:rsidRDefault="007F52E1">
            <w:pPr>
              <w:pStyle w:val="Standard"/>
              <w:spacing w:after="0" w:line="240" w:lineRule="auto"/>
              <w:jc w:val="both"/>
            </w:pPr>
            <w:r>
              <w:rPr>
                <w:rFonts w:ascii="Gill Sans MT" w:hAnsi="Gill Sans MT"/>
              </w:rPr>
              <w:t>-esporre correttamente le nozioni e gli enunciati dei teoremi in programma, oltre che saper dimostrare i teoremi sottolineati.</w:t>
            </w:r>
          </w:p>
          <w:p w14:paraId="40123370" w14:textId="77777777" w:rsidR="007D5723" w:rsidRDefault="007F52E1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-saper applicare le nozioni e i risultati studiati ad alcuni problemi derivanti dal marketing, dall'economia, dalla finanza.</w:t>
            </w:r>
          </w:p>
        </w:tc>
      </w:tr>
      <w:tr w:rsidR="007D5723" w14:paraId="611E8411" w14:textId="77777777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86FC" w14:textId="77777777" w:rsidR="007D5723" w:rsidRDefault="007D5723">
            <w:pPr>
              <w:pStyle w:val="Standard"/>
              <w:snapToGrid w:val="0"/>
              <w:spacing w:after="0"/>
              <w:rPr>
                <w:rFonts w:ascii="Gill Sans MT" w:hAnsi="Gill Sans MT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27CC" w14:textId="77777777" w:rsidR="007D5723" w:rsidRDefault="007D5723">
            <w:pPr>
              <w:pStyle w:val="Standard"/>
              <w:snapToGrid w:val="0"/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14:paraId="6ABD5A89" w14:textId="77777777" w:rsidR="007D5723" w:rsidRDefault="007D5723">
      <w:pPr>
        <w:pStyle w:val="Standard"/>
        <w:rPr>
          <w:rFonts w:ascii="Gill Sans MT" w:hAnsi="Gill Sans MT"/>
        </w:rPr>
      </w:pPr>
    </w:p>
    <w:p w14:paraId="7D473C37" w14:textId="77777777" w:rsidR="007D5723" w:rsidRDefault="007D5723">
      <w:pPr>
        <w:pStyle w:val="Standard"/>
        <w:rPr>
          <w:rFonts w:ascii="Gill Sans MT" w:hAnsi="Gill Sans MT"/>
        </w:rPr>
      </w:pPr>
    </w:p>
    <w:sectPr w:rsidR="007D5723">
      <w:pgSz w:w="11905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008C" w14:textId="77777777" w:rsidR="00E23C9F" w:rsidRDefault="00E23C9F">
      <w:r>
        <w:separator/>
      </w:r>
    </w:p>
  </w:endnote>
  <w:endnote w:type="continuationSeparator" w:id="0">
    <w:p w14:paraId="598D55B4" w14:textId="77777777" w:rsidR="00E23C9F" w:rsidRDefault="00E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21DE" w14:textId="77777777" w:rsidR="00E23C9F" w:rsidRDefault="00E23C9F">
      <w:r>
        <w:rPr>
          <w:color w:val="000000"/>
        </w:rPr>
        <w:separator/>
      </w:r>
    </w:p>
  </w:footnote>
  <w:footnote w:type="continuationSeparator" w:id="0">
    <w:p w14:paraId="549B7B3B" w14:textId="77777777" w:rsidR="00E23C9F" w:rsidRDefault="00E2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211A"/>
    <w:multiLevelType w:val="multilevel"/>
    <w:tmpl w:val="29D2C36C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9435F83"/>
    <w:multiLevelType w:val="multilevel"/>
    <w:tmpl w:val="F768E8D8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E874C4F"/>
    <w:multiLevelType w:val="multilevel"/>
    <w:tmpl w:val="4D74C1C4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E876343"/>
    <w:multiLevelType w:val="multilevel"/>
    <w:tmpl w:val="78C0FCDA"/>
    <w:styleLink w:val="WW8Num1"/>
    <w:lvl w:ilvl="0">
      <w:numFmt w:val="bullet"/>
      <w:lvlText w:val="←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4" w15:restartNumberingAfterBreak="0">
    <w:nsid w:val="461D7A61"/>
    <w:multiLevelType w:val="multilevel"/>
    <w:tmpl w:val="53B4753A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A4E314E"/>
    <w:multiLevelType w:val="multilevel"/>
    <w:tmpl w:val="6CBCF950"/>
    <w:styleLink w:val="WW8Num8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6" w15:restartNumberingAfterBreak="0">
    <w:nsid w:val="63C265F9"/>
    <w:multiLevelType w:val="multilevel"/>
    <w:tmpl w:val="85BCDE7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Calibri" w:eastAsia="MS Mincho" w:hAnsi="Calibri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A1F004E"/>
    <w:multiLevelType w:val="multilevel"/>
    <w:tmpl w:val="AA609E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AFD0DF3"/>
    <w:multiLevelType w:val="multilevel"/>
    <w:tmpl w:val="B1C66ED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23"/>
    <w:rsid w:val="000E62F7"/>
    <w:rsid w:val="003D6FD7"/>
    <w:rsid w:val="00443406"/>
    <w:rsid w:val="007D5723"/>
    <w:rsid w:val="007F52E1"/>
    <w:rsid w:val="00DC1F2A"/>
    <w:rsid w:val="00E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26DB"/>
  <w15:docId w15:val="{8DA9FE81-4DDC-42B0-B208-B24FF86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Grigliachiara-Colore31">
    <w:name w:val="Griglia chiara - Colore 31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alibri" w:eastAsia="MS Mincho" w:hAnsi="Calibri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Gianluigi Fiori</cp:lastModifiedBy>
  <cp:revision>2</cp:revision>
  <dcterms:created xsi:type="dcterms:W3CDTF">2020-09-28T12:57:00Z</dcterms:created>
  <dcterms:modified xsi:type="dcterms:W3CDTF">2020-09-28T12:57:00Z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