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2AA1" w14:textId="00260902" w:rsidR="00B96FA5" w:rsidRPr="00C23C13" w:rsidRDefault="00B96FA5" w:rsidP="00C23C13">
      <w:pPr>
        <w:spacing w:line="360" w:lineRule="auto"/>
        <w:rPr>
          <w:b/>
        </w:rPr>
      </w:pPr>
      <w:r w:rsidRPr="00C23C13">
        <w:rPr>
          <w:b/>
        </w:rPr>
        <w:t xml:space="preserve">Curriculum </w:t>
      </w:r>
      <w:r w:rsidR="002E0F55" w:rsidRPr="00C23C13">
        <w:rPr>
          <w:b/>
        </w:rPr>
        <w:t>scientifico didattico</w:t>
      </w:r>
    </w:p>
    <w:p w14:paraId="6C631091" w14:textId="0F96FDB6" w:rsidR="003531BC" w:rsidRPr="00C23C13" w:rsidRDefault="002E0F55" w:rsidP="00C23C13">
      <w:pPr>
        <w:spacing w:line="360" w:lineRule="auto"/>
        <w:rPr>
          <w:b/>
        </w:rPr>
      </w:pPr>
      <w:r w:rsidRPr="00C23C13">
        <w:rPr>
          <w:b/>
        </w:rPr>
        <w:t>G</w:t>
      </w:r>
      <w:r w:rsidR="003531BC" w:rsidRPr="00C23C13">
        <w:rPr>
          <w:b/>
        </w:rPr>
        <w:t xml:space="preserve">iuseppe </w:t>
      </w:r>
      <w:r w:rsidRPr="00C23C13">
        <w:rPr>
          <w:b/>
        </w:rPr>
        <w:t>C</w:t>
      </w:r>
      <w:r w:rsidR="003531BC" w:rsidRPr="00C23C13">
        <w:rPr>
          <w:b/>
        </w:rPr>
        <w:t xml:space="preserve">arraro </w:t>
      </w:r>
      <w:r w:rsidR="00C23C13" w:rsidRPr="00C23C13">
        <w:rPr>
          <w:b/>
        </w:rPr>
        <w:t>Aventi</w:t>
      </w:r>
    </w:p>
    <w:p w14:paraId="2E8FF866" w14:textId="09C1F82E" w:rsidR="00C23C13" w:rsidRPr="00C23C13" w:rsidRDefault="00C23C13" w:rsidP="00C23C13">
      <w:pPr>
        <w:spacing w:line="360" w:lineRule="auto"/>
        <w:rPr>
          <w:b/>
        </w:rPr>
      </w:pPr>
      <w:r w:rsidRPr="00C23C13">
        <w:rPr>
          <w:b/>
        </w:rPr>
        <w:t>Dipartimento di Economia e Finanza - Università degli Studi di Bari “Aldo Moro”</w:t>
      </w:r>
    </w:p>
    <w:p w14:paraId="2F7F7FB7" w14:textId="4DE35BC1" w:rsidR="00D356DD" w:rsidRDefault="00D356DD" w:rsidP="00E9683C">
      <w:pPr>
        <w:spacing w:line="360" w:lineRule="auto"/>
        <w:ind w:firstLine="284"/>
        <w:jc w:val="both"/>
      </w:pPr>
    </w:p>
    <w:p w14:paraId="2643E870" w14:textId="77777777" w:rsidR="00DC5E0B" w:rsidRDefault="00DC5E0B" w:rsidP="00E9683C">
      <w:pPr>
        <w:spacing w:line="360" w:lineRule="auto"/>
        <w:ind w:firstLine="284"/>
        <w:jc w:val="both"/>
      </w:pPr>
    </w:p>
    <w:p w14:paraId="559A4200" w14:textId="053AE7B3" w:rsidR="00C23C13" w:rsidRPr="00C23C13" w:rsidRDefault="00C23C13" w:rsidP="00E9683C">
      <w:pPr>
        <w:spacing w:line="360" w:lineRule="auto"/>
        <w:ind w:firstLine="284"/>
        <w:jc w:val="both"/>
        <w:rPr>
          <w:b/>
        </w:rPr>
      </w:pPr>
      <w:r w:rsidRPr="00C23C13">
        <w:rPr>
          <w:b/>
        </w:rPr>
        <w:t>Posizione attuale</w:t>
      </w:r>
    </w:p>
    <w:p w14:paraId="116C9F39" w14:textId="78D0F4B6" w:rsidR="009F6DD0" w:rsidRDefault="00F7121F" w:rsidP="00DC5E0B">
      <w:pPr>
        <w:spacing w:line="360" w:lineRule="auto"/>
        <w:ind w:firstLine="284"/>
        <w:jc w:val="both"/>
      </w:pPr>
      <w:r>
        <w:t xml:space="preserve">- </w:t>
      </w:r>
      <w:r w:rsidR="009F6DD0">
        <w:t xml:space="preserve">Professore associato di Diritto commerciale </w:t>
      </w:r>
      <w:r w:rsidR="00C23C13">
        <w:t xml:space="preserve">nell’Università degli studi di Bari “Aldo Moro”, </w:t>
      </w:r>
      <w:r w:rsidR="009F6DD0">
        <w:t>Dipartimento di Economia e Finanza</w:t>
      </w:r>
    </w:p>
    <w:p w14:paraId="32915080" w14:textId="378C1CA7" w:rsidR="00C23C13" w:rsidRDefault="00F7121F" w:rsidP="00DC5E0B">
      <w:pPr>
        <w:spacing w:line="360" w:lineRule="auto"/>
        <w:ind w:firstLine="284"/>
        <w:jc w:val="both"/>
      </w:pPr>
      <w:r>
        <w:t xml:space="preserve">- </w:t>
      </w:r>
      <w:r w:rsidR="00C23C13">
        <w:t xml:space="preserve">Iscritto nell’Albo degli Avvocati, Ordine di Padova – Avvocato </w:t>
      </w:r>
      <w:r w:rsidR="004A39A4">
        <w:t>c</w:t>
      </w:r>
      <w:r w:rsidR="00C23C13">
        <w:t>assazionista</w:t>
      </w:r>
    </w:p>
    <w:p w14:paraId="2086F1E7" w14:textId="73FAECB4" w:rsidR="00C23C13" w:rsidRDefault="00C23C13" w:rsidP="00E9683C">
      <w:pPr>
        <w:spacing w:line="360" w:lineRule="auto"/>
        <w:ind w:firstLine="284"/>
        <w:jc w:val="both"/>
      </w:pPr>
    </w:p>
    <w:p w14:paraId="7C57A1A9" w14:textId="6FF295A3" w:rsidR="00C23C13" w:rsidRPr="00C23C13" w:rsidRDefault="00C23C13" w:rsidP="00E9683C">
      <w:pPr>
        <w:spacing w:line="360" w:lineRule="auto"/>
        <w:ind w:firstLine="284"/>
        <w:jc w:val="both"/>
        <w:rPr>
          <w:b/>
        </w:rPr>
      </w:pPr>
      <w:r>
        <w:rPr>
          <w:b/>
        </w:rPr>
        <w:t>Formazione accademica</w:t>
      </w:r>
    </w:p>
    <w:p w14:paraId="49536A38" w14:textId="498BE8FE" w:rsidR="00B9257C" w:rsidRDefault="00F7121F" w:rsidP="00DC5E0B">
      <w:pPr>
        <w:spacing w:line="360" w:lineRule="auto"/>
        <w:ind w:firstLine="284"/>
        <w:jc w:val="both"/>
      </w:pPr>
      <w:r>
        <w:t xml:space="preserve">- </w:t>
      </w:r>
      <w:r w:rsidR="00D250F1">
        <w:t>L</w:t>
      </w:r>
      <w:r w:rsidR="00E9683C">
        <w:t>aurea con lode in Giurisprudenza</w:t>
      </w:r>
      <w:r w:rsidR="00C23C13">
        <w:t xml:space="preserve"> - </w:t>
      </w:r>
      <w:r w:rsidR="00E9683C">
        <w:t>Università La Sapienza di Roma</w:t>
      </w:r>
      <w:r w:rsidR="009F6DD0">
        <w:t>.</w:t>
      </w:r>
      <w:r w:rsidR="00D250F1">
        <w:t xml:space="preserve"> Relatore Prof. Giorgio Oppo</w:t>
      </w:r>
      <w:r w:rsidR="00B9257C">
        <w:t>;</w:t>
      </w:r>
    </w:p>
    <w:p w14:paraId="20010962" w14:textId="5C4B0217" w:rsidR="00F7121F" w:rsidRDefault="00F7121F" w:rsidP="00DC5E0B">
      <w:pPr>
        <w:spacing w:line="360" w:lineRule="auto"/>
        <w:ind w:firstLine="284"/>
        <w:jc w:val="both"/>
      </w:pPr>
      <w:r>
        <w:t xml:space="preserve">- </w:t>
      </w:r>
      <w:r w:rsidR="004A39A4">
        <w:t>Collabora</w:t>
      </w:r>
      <w:r w:rsidR="00943CA3">
        <w:t>zion</w:t>
      </w:r>
      <w:r w:rsidR="004A39A4">
        <w:t>e</w:t>
      </w:r>
      <w:r>
        <w:t xml:space="preserve"> alla I</w:t>
      </w:r>
      <w:r w:rsidRPr="00F7121F">
        <w:rPr>
          <w:vertAlign w:val="superscript"/>
        </w:rPr>
        <w:t>a</w:t>
      </w:r>
      <w:r>
        <w:t xml:space="preserve"> cattedra di Diritto commerciale, titolare </w:t>
      </w:r>
      <w:r w:rsidR="00214960">
        <w:t>Prof. Giorgio Oppo</w:t>
      </w:r>
    </w:p>
    <w:p w14:paraId="5F976112" w14:textId="2B7E9179" w:rsidR="00611823" w:rsidRDefault="00F7121F" w:rsidP="00DC5E0B">
      <w:pPr>
        <w:spacing w:line="360" w:lineRule="auto"/>
        <w:ind w:firstLine="284"/>
        <w:jc w:val="both"/>
      </w:pPr>
      <w:r>
        <w:t>-</w:t>
      </w:r>
      <w:r w:rsidR="00D250F1">
        <w:t xml:space="preserve"> </w:t>
      </w:r>
      <w:r>
        <w:rPr>
          <w:i/>
        </w:rPr>
        <w:t>S</w:t>
      </w:r>
      <w:r w:rsidR="00E9683C" w:rsidRPr="00F7121F">
        <w:rPr>
          <w:i/>
        </w:rPr>
        <w:t>tag</w:t>
      </w:r>
      <w:r w:rsidR="004A39A4">
        <w:rPr>
          <w:i/>
        </w:rPr>
        <w:t>e</w:t>
      </w:r>
      <w:r w:rsidR="00E9683C">
        <w:t xml:space="preserve"> presso il Servizio Giuridico della Commissione del</w:t>
      </w:r>
      <w:r w:rsidR="00B9257C">
        <w:t>le Comunità Europee</w:t>
      </w:r>
      <w:r>
        <w:t xml:space="preserve"> -</w:t>
      </w:r>
      <w:r w:rsidR="00B9257C">
        <w:t xml:space="preserve"> Bruxelles</w:t>
      </w:r>
      <w:r w:rsidR="00E9683C">
        <w:t xml:space="preserve"> </w:t>
      </w:r>
    </w:p>
    <w:p w14:paraId="2D1DA6C6" w14:textId="3EAAA39F" w:rsidR="00E336AE" w:rsidRDefault="00E336AE" w:rsidP="00E336AE">
      <w:pPr>
        <w:spacing w:line="360" w:lineRule="auto"/>
        <w:ind w:firstLine="284"/>
        <w:jc w:val="both"/>
      </w:pPr>
      <w:r>
        <w:t xml:space="preserve">- 2013, </w:t>
      </w:r>
      <w:r w:rsidRPr="00872F85">
        <w:t>Abilitazione Scientifica Nazionale</w:t>
      </w:r>
      <w:r>
        <w:t xml:space="preserve"> per professore di II fascia nel settore concorsuale 12/B1, Diritto commerciale e della navigazione;</w:t>
      </w:r>
    </w:p>
    <w:p w14:paraId="319FA87F" w14:textId="348F9874" w:rsidR="00E336AE" w:rsidRPr="00F7121F" w:rsidRDefault="00E336AE" w:rsidP="00E336AE">
      <w:pPr>
        <w:spacing w:line="360" w:lineRule="auto"/>
        <w:ind w:firstLine="284"/>
        <w:jc w:val="both"/>
        <w:rPr>
          <w:highlight w:val="yellow"/>
        </w:rPr>
      </w:pPr>
      <w:r>
        <w:t xml:space="preserve">- 2018, </w:t>
      </w:r>
      <w:r w:rsidRPr="00214960">
        <w:t>Abilitazione Scientifica Nazionale per professore di II fascia nel settore concorsuale 12/B1, Diritto commerciale</w:t>
      </w:r>
    </w:p>
    <w:p w14:paraId="4D73D0CC" w14:textId="77777777" w:rsidR="00611823" w:rsidRPr="00611823" w:rsidRDefault="00611823" w:rsidP="00CA2028">
      <w:pPr>
        <w:spacing w:line="360" w:lineRule="auto"/>
        <w:ind w:firstLine="284"/>
        <w:jc w:val="both"/>
      </w:pPr>
    </w:p>
    <w:p w14:paraId="6F1DF31B" w14:textId="229FB767" w:rsidR="00611823" w:rsidRPr="002B4034" w:rsidRDefault="00611823" w:rsidP="00611823">
      <w:pPr>
        <w:spacing w:line="360" w:lineRule="auto"/>
        <w:ind w:firstLine="284"/>
        <w:jc w:val="both"/>
        <w:rPr>
          <w:b/>
        </w:rPr>
      </w:pPr>
      <w:r w:rsidRPr="002B4034">
        <w:rPr>
          <w:b/>
        </w:rPr>
        <w:t xml:space="preserve">Attività didattica: </w:t>
      </w:r>
    </w:p>
    <w:p w14:paraId="620FA56A" w14:textId="55EFF1F3" w:rsidR="00F7121F" w:rsidRDefault="00F7121F" w:rsidP="00F7121F">
      <w:pPr>
        <w:spacing w:line="360" w:lineRule="auto"/>
        <w:ind w:firstLine="284"/>
        <w:jc w:val="both"/>
      </w:pPr>
      <w:r>
        <w:t>- Da a.a. 2017-2018 a</w:t>
      </w:r>
      <w:r w:rsidR="00040DFC">
        <w:t>d</w:t>
      </w:r>
      <w:r>
        <w:t xml:space="preserve"> a.a. 2019-2020. Insegnamento di Diritto Commerciale</w:t>
      </w:r>
      <w:r w:rsidR="00040DFC">
        <w:t>,</w:t>
      </w:r>
      <w:r>
        <w:t xml:space="preserve"> </w:t>
      </w:r>
      <w:r w:rsidR="00040DFC">
        <w:t xml:space="preserve">I modulo </w:t>
      </w:r>
      <w:r>
        <w:t>(M-Z), nel Corso di Laurea triennale in Economia e Commercio - Facoltà di Economia “Giorgio Fuà” - Università Politecnica delle Marche</w:t>
      </w:r>
    </w:p>
    <w:p w14:paraId="0D49B837" w14:textId="0E1BA75A" w:rsidR="00F7121F" w:rsidRDefault="00F7121F" w:rsidP="00F7121F">
      <w:pPr>
        <w:spacing w:line="360" w:lineRule="auto"/>
        <w:ind w:firstLine="284"/>
        <w:jc w:val="both"/>
      </w:pPr>
      <w:r>
        <w:t xml:space="preserve">- Da a.a. </w:t>
      </w:r>
      <w:r w:rsidRPr="00611823">
        <w:t>2014-2015</w:t>
      </w:r>
      <w:r>
        <w:t xml:space="preserve"> a</w:t>
      </w:r>
      <w:r w:rsidR="00040DFC">
        <w:t>d</w:t>
      </w:r>
      <w:r>
        <w:t xml:space="preserve"> a.a. 2018-2019. Insegnamento di Diritto industriale, nel Corso di Laurea magistrale in Direzione aziendale - Università degli Studi di Verona (sede di Vicenza)</w:t>
      </w:r>
    </w:p>
    <w:p w14:paraId="3B59D96F" w14:textId="7121D157" w:rsidR="00F7121F" w:rsidRDefault="00F7121F" w:rsidP="003923D3">
      <w:pPr>
        <w:spacing w:line="360" w:lineRule="auto"/>
        <w:ind w:firstLine="284"/>
        <w:jc w:val="both"/>
      </w:pPr>
      <w:r>
        <w:t xml:space="preserve">- Da a.a. </w:t>
      </w:r>
      <w:r w:rsidRPr="00611823">
        <w:t>2006-</w:t>
      </w:r>
      <w:r w:rsidR="003923D3">
        <w:t>200</w:t>
      </w:r>
      <w:r>
        <w:t>7 a</w:t>
      </w:r>
      <w:r w:rsidR="00040DFC">
        <w:t>d</w:t>
      </w:r>
      <w:r>
        <w:t xml:space="preserve"> a.a. 2011-</w:t>
      </w:r>
      <w:r w:rsidRPr="00611823">
        <w:t>2012</w:t>
      </w:r>
      <w:r>
        <w:t>. Insegnamento integrativo di Diritto commerciale II (modulo “</w:t>
      </w:r>
      <w:r w:rsidRPr="0002578C">
        <w:t>S</w:t>
      </w:r>
      <w:r>
        <w:t>ocietà quotate in borsa”), nel corso di laurea magistrale a ciclo unico in Giurisprudenza - Università di Ferrara (sede di Rovigo)</w:t>
      </w:r>
    </w:p>
    <w:p w14:paraId="19E1FCC0" w14:textId="77777777" w:rsidR="00040DFC" w:rsidRDefault="00040DFC" w:rsidP="00040DFC">
      <w:pPr>
        <w:spacing w:line="360" w:lineRule="auto"/>
        <w:ind w:firstLine="284"/>
        <w:jc w:val="both"/>
      </w:pPr>
      <w:r>
        <w:t xml:space="preserve">- a.a. </w:t>
      </w:r>
      <w:r w:rsidRPr="005D38DE">
        <w:t>2015-2016</w:t>
      </w:r>
      <w:r>
        <w:t>. M</w:t>
      </w:r>
      <w:r w:rsidRPr="005D38DE">
        <w:t xml:space="preserve">odulo di insegnamento in materia di </w:t>
      </w:r>
      <w:r>
        <w:t>Proprietà Intellettuale</w:t>
      </w:r>
      <w:r w:rsidRPr="005D38DE">
        <w:t xml:space="preserve"> nel Corso di dottorato in </w:t>
      </w:r>
      <w:r>
        <w:t>Scienze Naturali e Ingegneristiche</w:t>
      </w:r>
      <w:r w:rsidRPr="005D38DE">
        <w:t>, Università degli Studi di Verona</w:t>
      </w:r>
    </w:p>
    <w:p w14:paraId="2BCF42BB" w14:textId="77777777" w:rsidR="003923D3" w:rsidRDefault="003923D3" w:rsidP="00611823">
      <w:pPr>
        <w:spacing w:line="360" w:lineRule="auto"/>
        <w:ind w:firstLine="284"/>
        <w:jc w:val="both"/>
      </w:pPr>
    </w:p>
    <w:p w14:paraId="7D907683" w14:textId="7D2FD1D8" w:rsidR="00E50D23" w:rsidRPr="00947E6D" w:rsidRDefault="00F7121F" w:rsidP="00947E6D">
      <w:pPr>
        <w:spacing w:line="360" w:lineRule="auto"/>
        <w:ind w:firstLine="284"/>
        <w:jc w:val="both"/>
        <w:rPr>
          <w:b/>
        </w:rPr>
      </w:pPr>
      <w:r w:rsidRPr="00F7121F">
        <w:rPr>
          <w:b/>
        </w:rPr>
        <w:t>Esperienze accademiche</w:t>
      </w:r>
    </w:p>
    <w:p w14:paraId="4E30840C" w14:textId="4E71B661" w:rsidR="00492185" w:rsidRDefault="00492185" w:rsidP="00F7121F">
      <w:pPr>
        <w:spacing w:line="360" w:lineRule="auto"/>
        <w:ind w:firstLine="284"/>
        <w:jc w:val="both"/>
        <w:rPr>
          <w:i/>
          <w:iCs/>
        </w:rPr>
      </w:pPr>
      <w:r>
        <w:lastRenderedPageBreak/>
        <w:t xml:space="preserve">- 2018. </w:t>
      </w:r>
      <w:r w:rsidR="004A39A4">
        <w:rPr>
          <w:i/>
          <w:iCs/>
        </w:rPr>
        <w:t>Gastwissenschaftler</w:t>
      </w:r>
      <w:r>
        <w:t xml:space="preserve"> dell’</w:t>
      </w:r>
      <w:r w:rsidRPr="00F71CCC">
        <w:rPr>
          <w:i/>
          <w:iCs/>
        </w:rPr>
        <w:t>Institut für ausländisches und internationales Privat- und Wirtschaftsrecht</w:t>
      </w:r>
      <w:r>
        <w:t xml:space="preserve"> dell’Università di Heidelberg</w:t>
      </w:r>
      <w:r w:rsidRPr="00F71CCC">
        <w:rPr>
          <w:i/>
          <w:iCs/>
        </w:rPr>
        <w:t xml:space="preserve"> </w:t>
      </w:r>
    </w:p>
    <w:p w14:paraId="2C4CC68B" w14:textId="6182AE78" w:rsidR="00492185" w:rsidRDefault="00492185" w:rsidP="00F7121F">
      <w:pPr>
        <w:spacing w:line="360" w:lineRule="auto"/>
        <w:ind w:firstLine="284"/>
        <w:jc w:val="both"/>
      </w:pPr>
      <w:r w:rsidRPr="00422FCE">
        <w:rPr>
          <w:iCs/>
        </w:rPr>
        <w:t>20</w:t>
      </w:r>
      <w:r w:rsidR="00040DFC">
        <w:rPr>
          <w:iCs/>
        </w:rPr>
        <w:t>08, 2010, 2013</w:t>
      </w:r>
      <w:r>
        <w:rPr>
          <w:iCs/>
        </w:rPr>
        <w:t xml:space="preserve"> Ricercatore ospite dell</w:t>
      </w:r>
      <w:r w:rsidR="00422FCE">
        <w:rPr>
          <w:iCs/>
        </w:rPr>
        <w:t>a</w:t>
      </w:r>
      <w:r>
        <w:rPr>
          <w:iCs/>
        </w:rPr>
        <w:t xml:space="preserve"> </w:t>
      </w:r>
      <w:r w:rsidRPr="00F71CCC">
        <w:rPr>
          <w:i/>
          <w:iCs/>
        </w:rPr>
        <w:t>Juristische Fakultät</w:t>
      </w:r>
      <w:r w:rsidRPr="00BE4379">
        <w:t xml:space="preserve"> </w:t>
      </w:r>
      <w:r>
        <w:t>della Humboldt Universität</w:t>
      </w:r>
      <w:r w:rsidRPr="00BE4379">
        <w:t xml:space="preserve"> di Berlino</w:t>
      </w:r>
    </w:p>
    <w:p w14:paraId="2EBB390B" w14:textId="46FB203F" w:rsidR="003923D3" w:rsidRDefault="003923D3" w:rsidP="003923D3">
      <w:pPr>
        <w:spacing w:line="360" w:lineRule="auto"/>
        <w:ind w:firstLine="284"/>
        <w:jc w:val="both"/>
      </w:pPr>
    </w:p>
    <w:p w14:paraId="5F883655" w14:textId="062B9D4F" w:rsidR="003923D3" w:rsidRDefault="003923D3" w:rsidP="003923D3">
      <w:pPr>
        <w:spacing w:line="360" w:lineRule="auto"/>
        <w:ind w:firstLine="284"/>
        <w:jc w:val="both"/>
      </w:pPr>
      <w:r>
        <w:t>- da a.a. 2002-2003 a a.a. 2006-2007 e da a.a. 2014-2015 a a.a. 2015-2016. Docente di Diritto commerciale nella Scuola di specializzazione interateneo per le professioni legali delle Facoltà di Giurisprudenza di Padova, Ferrara e Trieste e della Facoltà di Economia Ca’ Foscari di Venezia</w:t>
      </w:r>
    </w:p>
    <w:p w14:paraId="079944D5" w14:textId="6FDCDDC2" w:rsidR="003923D3" w:rsidRDefault="003923D3" w:rsidP="003923D3">
      <w:pPr>
        <w:spacing w:line="360" w:lineRule="auto"/>
        <w:ind w:firstLine="284"/>
        <w:jc w:val="both"/>
      </w:pPr>
      <w:r>
        <w:t>- 2002 e 2005. Docente di Diritto commerciale nella Scuola di Specializzazione per le professioni legali degli Ordini Forensi di Padova-Rovigo e Bassano del Grappa</w:t>
      </w:r>
    </w:p>
    <w:p w14:paraId="1DF24CB7" w14:textId="5C8C997C" w:rsidR="003923D3" w:rsidRDefault="00431CF7" w:rsidP="003923D3">
      <w:pPr>
        <w:spacing w:line="360" w:lineRule="auto"/>
        <w:ind w:firstLine="284"/>
        <w:jc w:val="both"/>
      </w:pPr>
      <w:r>
        <w:t xml:space="preserve">- </w:t>
      </w:r>
      <w:r w:rsidR="003923D3">
        <w:t>2003. Docente di Diritto commerciale nella Scuola di Specializzazione per le professioni legali dell’Ordine forense di Belluno</w:t>
      </w:r>
    </w:p>
    <w:p w14:paraId="18E919EB" w14:textId="4194071D" w:rsidR="00431CF7" w:rsidRDefault="00431CF7" w:rsidP="003923D3">
      <w:pPr>
        <w:spacing w:line="360" w:lineRule="auto"/>
        <w:ind w:firstLine="284"/>
        <w:jc w:val="both"/>
      </w:pPr>
      <w:r>
        <w:t>- 2000: docente di Diritto commerciale nella Scuola di specializzazione per le professioni legali dell’Ordine forense di Venezia</w:t>
      </w:r>
    </w:p>
    <w:p w14:paraId="41BF221D" w14:textId="66E1CCF5" w:rsidR="00431CF7" w:rsidRDefault="003923D3" w:rsidP="00431CF7">
      <w:pPr>
        <w:spacing w:line="360" w:lineRule="auto"/>
        <w:ind w:firstLine="284"/>
        <w:jc w:val="both"/>
      </w:pPr>
      <w:r>
        <w:t>- da a.a. 1997-1998 a a.a. 2000-2001. Docente di Diritto commerciale nella Scuola di applicazione forense dell’Università di Padova</w:t>
      </w:r>
    </w:p>
    <w:p w14:paraId="72B2E4CE" w14:textId="77777777" w:rsidR="00F7121F" w:rsidRDefault="00F7121F" w:rsidP="00CA2028">
      <w:pPr>
        <w:spacing w:line="360" w:lineRule="auto"/>
        <w:ind w:firstLine="284"/>
        <w:jc w:val="both"/>
        <w:rPr>
          <w:color w:val="FF0000"/>
        </w:rPr>
      </w:pPr>
    </w:p>
    <w:p w14:paraId="19AF3462" w14:textId="77777777" w:rsidR="003923D3" w:rsidRPr="00CB57C7" w:rsidRDefault="003923D3" w:rsidP="003923D3">
      <w:pPr>
        <w:spacing w:line="360" w:lineRule="auto"/>
        <w:ind w:firstLine="284"/>
        <w:jc w:val="both"/>
        <w:rPr>
          <w:b/>
        </w:rPr>
      </w:pPr>
      <w:r>
        <w:rPr>
          <w:b/>
        </w:rPr>
        <w:t>Partecipazione a redazione di riviste scientifiche</w:t>
      </w:r>
    </w:p>
    <w:p w14:paraId="71796426" w14:textId="5F8DCE16" w:rsidR="003923D3" w:rsidRDefault="00DC5E0B" w:rsidP="003923D3">
      <w:pPr>
        <w:spacing w:line="360" w:lineRule="auto"/>
        <w:ind w:firstLine="284"/>
        <w:jc w:val="both"/>
      </w:pPr>
      <w:r>
        <w:t xml:space="preserve">- </w:t>
      </w:r>
      <w:r w:rsidR="003923D3">
        <w:t>d</w:t>
      </w:r>
      <w:r w:rsidR="003923D3" w:rsidRPr="00437F21">
        <w:t>al 2016</w:t>
      </w:r>
      <w:r w:rsidR="003923D3">
        <w:t>. Componente della redazione giudiziaria della Rivista “Nuova Giurisprudenza Civile Commentata”</w:t>
      </w:r>
    </w:p>
    <w:p w14:paraId="4696601B" w14:textId="77777777" w:rsidR="00611823" w:rsidRDefault="00611823" w:rsidP="00611823">
      <w:pPr>
        <w:spacing w:line="360" w:lineRule="auto"/>
        <w:ind w:firstLine="284"/>
        <w:jc w:val="both"/>
      </w:pPr>
    </w:p>
    <w:p w14:paraId="11F1C547" w14:textId="77777777" w:rsidR="00611823" w:rsidRPr="00611823" w:rsidRDefault="00611823" w:rsidP="00CA2028">
      <w:pPr>
        <w:spacing w:line="360" w:lineRule="auto"/>
        <w:ind w:firstLine="284"/>
        <w:jc w:val="both"/>
        <w:rPr>
          <w:b/>
        </w:rPr>
      </w:pPr>
      <w:r>
        <w:rPr>
          <w:b/>
        </w:rPr>
        <w:t>Riconoscimenti e d</w:t>
      </w:r>
      <w:r w:rsidRPr="00611823">
        <w:rPr>
          <w:b/>
        </w:rPr>
        <w:t>esignazioni</w:t>
      </w:r>
    </w:p>
    <w:p w14:paraId="5C50DE90" w14:textId="6E65AE79" w:rsidR="00CF22B6" w:rsidRDefault="00DC5E0B" w:rsidP="00DC5E0B">
      <w:pPr>
        <w:spacing w:line="360" w:lineRule="auto"/>
        <w:ind w:firstLine="284"/>
        <w:jc w:val="both"/>
      </w:pPr>
      <w:r>
        <w:t xml:space="preserve">- </w:t>
      </w:r>
      <w:r w:rsidR="00872F85">
        <w:t>2014</w:t>
      </w:r>
      <w:r w:rsidR="00872F85" w:rsidRPr="00DB48DD">
        <w:t xml:space="preserve">: </w:t>
      </w:r>
      <w:r w:rsidR="00DB48DD">
        <w:t>proposto</w:t>
      </w:r>
      <w:r w:rsidR="00B9257C">
        <w:t>,</w:t>
      </w:r>
      <w:r w:rsidR="00DB48DD">
        <w:t xml:space="preserve"> su parere del Consiglio Nazionale Forense</w:t>
      </w:r>
      <w:r w:rsidR="00B9257C">
        <w:t>,</w:t>
      </w:r>
      <w:r w:rsidR="00DB48DD">
        <w:t xml:space="preserve"> per </w:t>
      </w:r>
      <w:r w:rsidR="00B9257C">
        <w:t>la designazione all’ufficio di Consigliere di C</w:t>
      </w:r>
      <w:r w:rsidR="00DB48DD">
        <w:t>assazione per meriti insigni</w:t>
      </w:r>
      <w:r w:rsidR="003923D3">
        <w:t xml:space="preserve"> </w:t>
      </w:r>
      <w:r w:rsidR="00AB7C0F">
        <w:t>(delib</w:t>
      </w:r>
      <w:r w:rsidR="003923D3">
        <w:t>era</w:t>
      </w:r>
      <w:r w:rsidR="00AB7C0F">
        <w:t xml:space="preserve"> CSM </w:t>
      </w:r>
      <w:r w:rsidR="003923D3">
        <w:t xml:space="preserve">in data </w:t>
      </w:r>
      <w:r w:rsidR="00AB7C0F">
        <w:t>15</w:t>
      </w:r>
      <w:r w:rsidR="003923D3">
        <w:t xml:space="preserve"> aprile </w:t>
      </w:r>
      <w:r w:rsidR="00AB7C0F">
        <w:t>2014)</w:t>
      </w:r>
    </w:p>
    <w:p w14:paraId="29FA9696" w14:textId="77777777" w:rsidR="00CB57C7" w:rsidRDefault="00CB57C7" w:rsidP="000A7E17">
      <w:pPr>
        <w:spacing w:line="360" w:lineRule="auto"/>
        <w:ind w:firstLine="284"/>
        <w:jc w:val="both"/>
      </w:pPr>
    </w:p>
    <w:p w14:paraId="0332F76E" w14:textId="77777777" w:rsidR="00431CF7" w:rsidRPr="00431CF7" w:rsidRDefault="00431CF7" w:rsidP="00431CF7">
      <w:pPr>
        <w:pStyle w:val="NormaleWeb"/>
        <w:ind w:left="284"/>
        <w:jc w:val="both"/>
        <w:rPr>
          <w:b/>
          <w:color w:val="000000" w:themeColor="text1"/>
        </w:rPr>
      </w:pPr>
      <w:r w:rsidRPr="00431CF7">
        <w:rPr>
          <w:b/>
          <w:color w:val="000000" w:themeColor="text1"/>
        </w:rPr>
        <w:t>Lezioni, relazioni e comunicazioni a convegni, congressi e seminari di studi</w:t>
      </w:r>
    </w:p>
    <w:p w14:paraId="5421E71D" w14:textId="77777777" w:rsidR="00040DFC" w:rsidRPr="00C30752" w:rsidRDefault="00040DFC" w:rsidP="00040DFC">
      <w:pPr>
        <w:spacing w:line="360" w:lineRule="auto"/>
        <w:ind w:firstLine="284"/>
        <w:jc w:val="both"/>
      </w:pPr>
      <w:r>
        <w:t xml:space="preserve">- 2019: relazione dal titolo </w:t>
      </w:r>
      <w:r>
        <w:rPr>
          <w:i/>
          <w:iCs/>
        </w:rPr>
        <w:t>Le eccezioni per le opere fuori commercio</w:t>
      </w:r>
      <w:r>
        <w:t xml:space="preserve">, al XXXIV Incontro di AIDA, </w:t>
      </w:r>
      <w:r w:rsidRPr="00E716A8">
        <w:rPr>
          <w:i/>
          <w:iCs/>
        </w:rPr>
        <w:t xml:space="preserve">La direttiva </w:t>
      </w:r>
      <w:r w:rsidRPr="00CD6EC7">
        <w:rPr>
          <w:i/>
          <w:iCs/>
        </w:rPr>
        <w:t>Digital Copyright</w:t>
      </w:r>
      <w:r>
        <w:t>, Milano</w:t>
      </w:r>
    </w:p>
    <w:p w14:paraId="0D8EF551" w14:textId="77777777" w:rsidR="00DC5E0B" w:rsidRDefault="00DC5E0B" w:rsidP="00DC5E0B">
      <w:pPr>
        <w:spacing w:line="360" w:lineRule="auto"/>
        <w:ind w:firstLine="284"/>
        <w:jc w:val="both"/>
      </w:pPr>
      <w:r>
        <w:t xml:space="preserve">- 2019: </w:t>
      </w:r>
      <w:r w:rsidRPr="00711D8B">
        <w:t xml:space="preserve">relazione dal titolo </w:t>
      </w:r>
      <w:r>
        <w:rPr>
          <w:i/>
        </w:rPr>
        <w:t>Dall’autorizzazione maritale alle quote rosa. Uno sguardo ai diritti fondamentali</w:t>
      </w:r>
      <w:r w:rsidRPr="00711D8B">
        <w:rPr>
          <w:i/>
        </w:rPr>
        <w:t xml:space="preserve">, </w:t>
      </w:r>
      <w:r w:rsidRPr="00711D8B">
        <w:t xml:space="preserve">al </w:t>
      </w:r>
      <w:r>
        <w:t>Seminario</w:t>
      </w:r>
      <w:r w:rsidRPr="00711D8B">
        <w:t xml:space="preserve"> </w:t>
      </w:r>
      <w:r>
        <w:rPr>
          <w:i/>
        </w:rPr>
        <w:t>Donne, impresa, famiglia. A cent’anni dall’abolizione dell’autorizzazione maritale</w:t>
      </w:r>
      <w:r w:rsidRPr="00711D8B">
        <w:t xml:space="preserve">, Università Politecnica delle Marche </w:t>
      </w:r>
    </w:p>
    <w:p w14:paraId="40D0304C" w14:textId="77777777" w:rsidR="00DC5E0B" w:rsidRDefault="00DC5E0B" w:rsidP="00DC5E0B">
      <w:pPr>
        <w:spacing w:line="360" w:lineRule="auto"/>
        <w:ind w:firstLine="284"/>
        <w:jc w:val="both"/>
      </w:pPr>
      <w:r>
        <w:lastRenderedPageBreak/>
        <w:t xml:space="preserve">- 2018: relazione dal titolo </w:t>
      </w:r>
      <w:r>
        <w:rPr>
          <w:i/>
        </w:rPr>
        <w:t xml:space="preserve">Finanza, </w:t>
      </w:r>
      <w:r>
        <w:t>big data</w:t>
      </w:r>
      <w:r>
        <w:rPr>
          <w:i/>
        </w:rPr>
        <w:t xml:space="preserve"> e vantaggi concorrenziali, </w:t>
      </w:r>
      <w:r>
        <w:t xml:space="preserve">al Convegno </w:t>
      </w:r>
      <w:r w:rsidRPr="00711D8B">
        <w:rPr>
          <w:i/>
        </w:rPr>
        <w:t>Diritto, tecnologia e finanza</w:t>
      </w:r>
      <w:r>
        <w:t xml:space="preserve">, Università Politecnica delle Marche </w:t>
      </w:r>
    </w:p>
    <w:p w14:paraId="111C5F27" w14:textId="4B47592D" w:rsidR="00DC5E0B" w:rsidRDefault="00DC5E0B" w:rsidP="00DC5E0B">
      <w:pPr>
        <w:spacing w:line="360" w:lineRule="auto"/>
        <w:ind w:firstLine="284"/>
        <w:jc w:val="both"/>
      </w:pPr>
      <w:r>
        <w:t xml:space="preserve">- 2016: </w:t>
      </w:r>
      <w:r w:rsidR="00B203CB">
        <w:t>intervento</w:t>
      </w:r>
      <w:r>
        <w:t xml:space="preserve"> al Convegno </w:t>
      </w:r>
      <w:r>
        <w:rPr>
          <w:i/>
        </w:rPr>
        <w:t>L’abuso del diritto in materia tributaria e gli istituti del diritto civile e commerciale</w:t>
      </w:r>
      <w:r>
        <w:t xml:space="preserve">, Sapienza Università di Roma </w:t>
      </w:r>
    </w:p>
    <w:p w14:paraId="7A4F19E1" w14:textId="77777777" w:rsidR="00DC5E0B" w:rsidRDefault="00DC5E0B" w:rsidP="00DC5E0B">
      <w:pPr>
        <w:spacing w:line="360" w:lineRule="auto"/>
        <w:ind w:firstLine="284"/>
        <w:jc w:val="both"/>
      </w:pPr>
      <w:r>
        <w:t xml:space="preserve">- 2016: </w:t>
      </w:r>
      <w:r w:rsidRPr="007D43EA">
        <w:t>relazione dal titolo</w:t>
      </w:r>
      <w:r w:rsidRPr="007D43EA">
        <w:rPr>
          <w:i/>
        </w:rPr>
        <w:t xml:space="preserve"> Pubblicità commerciale e «diritto all’oblio» nella prospettiva dei diritti dell’uomo</w:t>
      </w:r>
      <w:r w:rsidRPr="007D43EA">
        <w:t xml:space="preserve">, al Convegno </w:t>
      </w:r>
      <w:r>
        <w:t>dell’Associazione</w:t>
      </w:r>
      <w:r w:rsidRPr="007D43EA">
        <w:t xml:space="preserve"> Orizzonti del diritto commerciale, Università di Roma 3</w:t>
      </w:r>
      <w:r>
        <w:t>;</w:t>
      </w:r>
    </w:p>
    <w:p w14:paraId="47A0C8F8" w14:textId="692D0E5C" w:rsidR="00DC5E0B" w:rsidRPr="00E047AD" w:rsidRDefault="00DC5E0B" w:rsidP="00DC5E0B">
      <w:pPr>
        <w:spacing w:line="360" w:lineRule="auto"/>
        <w:ind w:firstLine="284"/>
        <w:jc w:val="both"/>
      </w:pPr>
      <w:r>
        <w:t xml:space="preserve">- 2016: relazione dal titolo </w:t>
      </w:r>
      <w:r>
        <w:rPr>
          <w:i/>
        </w:rPr>
        <w:t>Il Registro delle imprese e la tutela della riservatezza</w:t>
      </w:r>
      <w:r>
        <w:t xml:space="preserve">, al Convegno </w:t>
      </w:r>
      <w:r>
        <w:rPr>
          <w:i/>
        </w:rPr>
        <w:t>I 20 anni del Registro delle imprese</w:t>
      </w:r>
      <w:r>
        <w:t xml:space="preserve">, </w:t>
      </w:r>
      <w:r w:rsidRPr="00437F21">
        <w:t>Università Cattolica del Sacro Cuore, sede di Piacenza</w:t>
      </w:r>
      <w:r w:rsidR="00B31DAA">
        <w:t>;</w:t>
      </w:r>
      <w:r w:rsidRPr="00437F21">
        <w:t xml:space="preserve"> </w:t>
      </w:r>
    </w:p>
    <w:p w14:paraId="7E4AB239" w14:textId="77777777" w:rsidR="00DC5E0B" w:rsidRDefault="00DC5E0B" w:rsidP="00DC5E0B">
      <w:pPr>
        <w:spacing w:line="360" w:lineRule="auto"/>
        <w:ind w:firstLine="284"/>
        <w:jc w:val="both"/>
      </w:pPr>
      <w:r>
        <w:t xml:space="preserve">- 2016: comunicazione all’Incontro di studio </w:t>
      </w:r>
      <w:r>
        <w:rPr>
          <w:i/>
        </w:rPr>
        <w:t>Il diritto delle società: clausole, principi, tendenze</w:t>
      </w:r>
      <w:r>
        <w:t xml:space="preserve">, </w:t>
      </w:r>
      <w:r w:rsidRPr="00437F21">
        <w:t xml:space="preserve">Sapienza Università di Roma </w:t>
      </w:r>
    </w:p>
    <w:p w14:paraId="2B96AFEE" w14:textId="77777777" w:rsidR="00DC5E0B" w:rsidRPr="0092659E" w:rsidRDefault="00DC5E0B" w:rsidP="00DC5E0B">
      <w:pPr>
        <w:spacing w:line="360" w:lineRule="auto"/>
        <w:ind w:firstLine="284"/>
        <w:jc w:val="both"/>
      </w:pPr>
      <w:r>
        <w:t xml:space="preserve">- </w:t>
      </w:r>
      <w:r w:rsidRPr="00EB2EBF">
        <w:t>2015:</w:t>
      </w:r>
      <w:r>
        <w:t xml:space="preserve"> </w:t>
      </w:r>
      <w:r w:rsidRPr="00EB2EBF">
        <w:t>comunicazione al</w:t>
      </w:r>
      <w:r>
        <w:t>la</w:t>
      </w:r>
      <w:r w:rsidRPr="00EB2EBF">
        <w:t xml:space="preserve"> </w:t>
      </w:r>
      <w:r>
        <w:t xml:space="preserve">Tavola Rotonda </w:t>
      </w:r>
      <w:r w:rsidRPr="00EB2EBF">
        <w:rPr>
          <w:i/>
        </w:rPr>
        <w:t>Sulla frode alla legge</w:t>
      </w:r>
      <w:r w:rsidRPr="00EB2EBF">
        <w:t>, Università</w:t>
      </w:r>
      <w:r>
        <w:t xml:space="preserve"> degli studi</w:t>
      </w:r>
      <w:r w:rsidRPr="00EB2EBF">
        <w:t xml:space="preserve"> di Padova</w:t>
      </w:r>
      <w:r>
        <w:t>, 20 marzo 2015</w:t>
      </w:r>
    </w:p>
    <w:p w14:paraId="4EE7F774" w14:textId="77777777" w:rsidR="00DC5E0B" w:rsidRDefault="00DC5E0B" w:rsidP="00DC5E0B">
      <w:pPr>
        <w:spacing w:line="360" w:lineRule="auto"/>
        <w:ind w:firstLine="284"/>
        <w:jc w:val="both"/>
      </w:pPr>
      <w:r>
        <w:t xml:space="preserve">- </w:t>
      </w:r>
      <w:r w:rsidRPr="00BE4379">
        <w:t>2015</w:t>
      </w:r>
      <w:r>
        <w:t xml:space="preserve">: relazione dal titolo </w:t>
      </w:r>
      <w:r>
        <w:rPr>
          <w:i/>
        </w:rPr>
        <w:t>Il soggetto Equitalia</w:t>
      </w:r>
      <w:r>
        <w:t xml:space="preserve">, al Seminario di studi </w:t>
      </w:r>
      <w:r>
        <w:rPr>
          <w:i/>
        </w:rPr>
        <w:t xml:space="preserve">Riscossione delle imposte tra efficacia e garanzie, </w:t>
      </w:r>
      <w:r>
        <w:t>organizzato da A.N.T.I, sez. Veneto, Castello di Monselice, 17 aprile 2015</w:t>
      </w:r>
    </w:p>
    <w:p w14:paraId="340D0D9C" w14:textId="77777777" w:rsidR="00DC5E0B" w:rsidRDefault="00DC5E0B" w:rsidP="00DC5E0B">
      <w:pPr>
        <w:spacing w:line="360" w:lineRule="auto"/>
        <w:ind w:firstLine="284"/>
        <w:jc w:val="both"/>
      </w:pPr>
      <w:r>
        <w:t xml:space="preserve">- </w:t>
      </w:r>
      <w:r w:rsidRPr="00664FED">
        <w:t xml:space="preserve">2015: </w:t>
      </w:r>
      <w:r>
        <w:t xml:space="preserve">relazione dal titolo </w:t>
      </w:r>
      <w:r>
        <w:rPr>
          <w:i/>
        </w:rPr>
        <w:t>Tipi di titolari dei segni di qualità</w:t>
      </w:r>
      <w:r>
        <w:t xml:space="preserve">, al XXVIII Incontro di AIDA, </w:t>
      </w:r>
      <w:r w:rsidRPr="00192625">
        <w:rPr>
          <w:i/>
        </w:rPr>
        <w:t>Segni di qualità del cibo e proprietà intellettuale</w:t>
      </w:r>
      <w:r>
        <w:t>, Milano</w:t>
      </w:r>
    </w:p>
    <w:p w14:paraId="0CE9DFED" w14:textId="77777777" w:rsidR="00DC5E0B" w:rsidRDefault="00DC5E0B" w:rsidP="00DC5E0B">
      <w:pPr>
        <w:spacing w:line="360" w:lineRule="auto"/>
        <w:ind w:firstLine="284"/>
        <w:jc w:val="both"/>
      </w:pPr>
      <w:r>
        <w:t>- 2014: relazione dal titolo</w:t>
      </w:r>
      <w:r w:rsidRPr="00104259">
        <w:rPr>
          <w:i/>
          <w:color w:val="000000"/>
          <w:szCs w:val="24"/>
        </w:rPr>
        <w:t xml:space="preserve"> </w:t>
      </w:r>
      <w:r w:rsidRPr="00104259">
        <w:rPr>
          <w:i/>
        </w:rPr>
        <w:t>La procedura sanzionatoria davanti alle Authorities al vaglio della C</w:t>
      </w:r>
      <w:r>
        <w:rPr>
          <w:i/>
        </w:rPr>
        <w:t xml:space="preserve">EDU, </w:t>
      </w:r>
      <w:r>
        <w:t>al Seminario di studi organizzato dal Dipartimento di Giurisprudenza dell’Università degli studi di Cagliari</w:t>
      </w:r>
    </w:p>
    <w:p w14:paraId="03404704" w14:textId="77777777" w:rsidR="00DC5E0B" w:rsidRDefault="00DC5E0B" w:rsidP="00DC5E0B">
      <w:pPr>
        <w:spacing w:line="360" w:lineRule="auto"/>
        <w:ind w:firstLine="284"/>
        <w:jc w:val="both"/>
      </w:pPr>
      <w:r>
        <w:t xml:space="preserve">- </w:t>
      </w:r>
      <w:r w:rsidRPr="00DE0B8C">
        <w:t xml:space="preserve">2014: intervento programmato dal titolo </w:t>
      </w:r>
      <w:r w:rsidRPr="00DE0B8C">
        <w:rPr>
          <w:i/>
        </w:rPr>
        <w:t xml:space="preserve">Alcune riflessioni sulla fallibilità delle società </w:t>
      </w:r>
      <w:r w:rsidRPr="00DE0B8C">
        <w:t xml:space="preserve">in house, al Convegno di studio </w:t>
      </w:r>
      <w:r w:rsidRPr="00DE0B8C">
        <w:rPr>
          <w:i/>
        </w:rPr>
        <w:t>Le prassi fallimentari dei tribunali della Lombardia ….. continua</w:t>
      </w:r>
      <w:r w:rsidRPr="00DE0B8C">
        <w:t>, Moltrasio, 3 e 4 ottobre 2014</w:t>
      </w:r>
    </w:p>
    <w:p w14:paraId="53F1159B" w14:textId="77777777" w:rsidR="00DC5E0B" w:rsidRDefault="00DC5E0B" w:rsidP="00DC5E0B">
      <w:pPr>
        <w:spacing w:line="360" w:lineRule="auto"/>
        <w:ind w:firstLine="284"/>
        <w:jc w:val="both"/>
      </w:pPr>
      <w:r>
        <w:t xml:space="preserve">- 2014: relazione alla Tavola Rotonda </w:t>
      </w:r>
      <w:r>
        <w:rPr>
          <w:i/>
        </w:rPr>
        <w:t>Le operazioni societarie straordinarie: questioni aperte</w:t>
      </w:r>
      <w:r>
        <w:t>, Università degli studi di Cagliari, 3 dicembre 2014</w:t>
      </w:r>
    </w:p>
    <w:p w14:paraId="5E8081FF" w14:textId="77777777" w:rsidR="00DC5E0B" w:rsidRDefault="00DC5E0B" w:rsidP="00DC5E0B">
      <w:pPr>
        <w:spacing w:line="360" w:lineRule="auto"/>
        <w:ind w:firstLine="284"/>
        <w:jc w:val="both"/>
      </w:pPr>
      <w:r>
        <w:t xml:space="preserve">- 2013: relazione dal titolo </w:t>
      </w:r>
      <w:r>
        <w:rPr>
          <w:i/>
        </w:rPr>
        <w:t>Riflessioni</w:t>
      </w:r>
      <w:r w:rsidRPr="005704EF">
        <w:rPr>
          <w:i/>
        </w:rPr>
        <w:t xml:space="preserve"> </w:t>
      </w:r>
      <w:r>
        <w:rPr>
          <w:i/>
        </w:rPr>
        <w:t xml:space="preserve">su </w:t>
      </w:r>
      <w:r w:rsidRPr="00B45F9B">
        <w:rPr>
          <w:i/>
        </w:rPr>
        <w:t>professione intellettuale forense, liberalizzazione dei compensi e disciplina contrattuale</w:t>
      </w:r>
      <w:r>
        <w:rPr>
          <w:i/>
        </w:rPr>
        <w:t>,</w:t>
      </w:r>
      <w:r>
        <w:t xml:space="preserve"> al Convegno dell’Associazione Orizzonti del diritto commerciale, Università Roma 3</w:t>
      </w:r>
    </w:p>
    <w:p w14:paraId="0307F87F" w14:textId="77777777" w:rsidR="00DC5E0B" w:rsidRDefault="00DC5E0B" w:rsidP="00DC5E0B">
      <w:pPr>
        <w:spacing w:line="360" w:lineRule="auto"/>
        <w:ind w:firstLine="284"/>
        <w:jc w:val="both"/>
      </w:pPr>
      <w:r>
        <w:t xml:space="preserve">- 2013: relazione dal titolo </w:t>
      </w:r>
      <w:r>
        <w:rPr>
          <w:i/>
        </w:rPr>
        <w:t xml:space="preserve">Le opere orfane nella prospettiva delle formalità costitutive e pubblicitarie, </w:t>
      </w:r>
      <w:r>
        <w:t>al Convegno organizzato a Milano dall’AIPPI-Associazione Internazionale per la Protezione della Proprietà Intellettuale (Gruppo Italiano)</w:t>
      </w:r>
    </w:p>
    <w:p w14:paraId="6F3C53CA" w14:textId="77777777" w:rsidR="00DC5E0B" w:rsidRDefault="00DC5E0B" w:rsidP="00DC5E0B">
      <w:pPr>
        <w:spacing w:line="360" w:lineRule="auto"/>
        <w:ind w:firstLine="284"/>
        <w:jc w:val="both"/>
      </w:pPr>
      <w:r>
        <w:lastRenderedPageBreak/>
        <w:t xml:space="preserve">- 2012: relazione dal titolo </w:t>
      </w:r>
      <w:r>
        <w:rPr>
          <w:i/>
        </w:rPr>
        <w:t>I rapporti negoziali tra artisti, produttori, collecting e utilizzatori</w:t>
      </w:r>
      <w:r>
        <w:t xml:space="preserve">, al Convegno organizzato a Milano dall’AIPPI-Associazione Internazionale per la Protezione della Proprietà Intellettuale (Gruppo Italiano) </w:t>
      </w:r>
    </w:p>
    <w:p w14:paraId="67887DCD" w14:textId="66A49667" w:rsidR="00DC5E0B" w:rsidRDefault="00DC5E0B" w:rsidP="00DC5E0B">
      <w:pPr>
        <w:spacing w:line="360" w:lineRule="auto"/>
        <w:ind w:firstLine="284"/>
        <w:jc w:val="both"/>
      </w:pPr>
      <w:r>
        <w:t xml:space="preserve">- 2011: relazione dal titolo </w:t>
      </w:r>
      <w:r>
        <w:rPr>
          <w:i/>
        </w:rPr>
        <w:t>Profili critici delle trasformazioni eterogenee,</w:t>
      </w:r>
      <w:r>
        <w:t xml:space="preserve"> Convegno nazionale presso la CCIAA di Sassari, dal titolo «Le operazioni straordinarie nell’evoluzione dell’impresa»</w:t>
      </w:r>
    </w:p>
    <w:p w14:paraId="131B2252" w14:textId="2EC77559" w:rsidR="000335DE" w:rsidRDefault="00947E6D" w:rsidP="00DC5E0B">
      <w:pPr>
        <w:spacing w:line="360" w:lineRule="auto"/>
        <w:ind w:firstLine="284"/>
        <w:jc w:val="both"/>
      </w:pPr>
      <w:r>
        <w:t xml:space="preserve">- </w:t>
      </w:r>
      <w:r w:rsidR="000335DE">
        <w:t>2008</w:t>
      </w:r>
      <w:r w:rsidR="00F06AA5">
        <w:t>,</w:t>
      </w:r>
      <w:r w:rsidR="000335DE">
        <w:t xml:space="preserve"> 2009</w:t>
      </w:r>
      <w:r w:rsidR="00F06AA5">
        <w:t>, 2012</w:t>
      </w:r>
      <w:r w:rsidR="000C5E4B">
        <w:t xml:space="preserve">: </w:t>
      </w:r>
      <w:r>
        <w:t>relazione ai</w:t>
      </w:r>
      <w:r w:rsidR="000C5E4B">
        <w:t xml:space="preserve"> seminar</w:t>
      </w:r>
      <w:r>
        <w:t>i</w:t>
      </w:r>
      <w:r w:rsidR="000C5E4B">
        <w:t xml:space="preserve"> </w:t>
      </w:r>
      <w:r w:rsidR="000335DE">
        <w:t xml:space="preserve">in materia di società pubbliche </w:t>
      </w:r>
      <w:r>
        <w:t>organizzati</w:t>
      </w:r>
      <w:r w:rsidR="000335DE">
        <w:t xml:space="preserve"> </w:t>
      </w:r>
      <w:r>
        <w:t>dal</w:t>
      </w:r>
      <w:r w:rsidR="000335DE">
        <w:t>l’Associazione Ve</w:t>
      </w:r>
      <w:r w:rsidR="000C5E4B">
        <w:t>neta Avvocati Amministrativisti;</w:t>
      </w:r>
    </w:p>
    <w:p w14:paraId="0E90E3D8" w14:textId="532AD5CB" w:rsidR="007825E4" w:rsidRDefault="00CE7228" w:rsidP="00DC5E0B">
      <w:pPr>
        <w:spacing w:line="360" w:lineRule="auto"/>
        <w:ind w:firstLine="284"/>
        <w:jc w:val="both"/>
      </w:pPr>
      <w:r>
        <w:t xml:space="preserve">- </w:t>
      </w:r>
      <w:r w:rsidR="007825E4">
        <w:t>2010</w:t>
      </w:r>
      <w:r w:rsidR="000C5E4B">
        <w:t>:</w:t>
      </w:r>
      <w:r w:rsidR="007825E4">
        <w:t xml:space="preserve"> rela</w:t>
      </w:r>
      <w:r w:rsidR="000C5E4B">
        <w:t>zione</w:t>
      </w:r>
      <w:r w:rsidR="007825E4">
        <w:t xml:space="preserve"> </w:t>
      </w:r>
      <w:r w:rsidR="000C5E4B">
        <w:t xml:space="preserve">dal titolo </w:t>
      </w:r>
      <w:r w:rsidR="000C5E4B">
        <w:rPr>
          <w:i/>
        </w:rPr>
        <w:t>Società di capitali e diritti dell’uomo,</w:t>
      </w:r>
      <w:r w:rsidR="000C5E4B">
        <w:t xml:space="preserve"> </w:t>
      </w:r>
      <w:r w:rsidR="007825E4">
        <w:t>al Convegno</w:t>
      </w:r>
      <w:r w:rsidR="00947E6D">
        <w:t xml:space="preserve"> dell’Associazione </w:t>
      </w:r>
      <w:r w:rsidR="007825E4">
        <w:t>Orizzonti del diritto commerciale</w:t>
      </w:r>
      <w:r w:rsidR="00947E6D">
        <w:t>,</w:t>
      </w:r>
      <w:r w:rsidR="007825E4">
        <w:t xml:space="preserve"> Universi</w:t>
      </w:r>
      <w:r w:rsidR="000C5E4B">
        <w:t>tà Roma 3</w:t>
      </w:r>
    </w:p>
    <w:p w14:paraId="2AB629EA" w14:textId="46A0086F" w:rsidR="00CA2028" w:rsidRDefault="00DC5E0B" w:rsidP="00DC5E0B">
      <w:pPr>
        <w:spacing w:line="360" w:lineRule="auto"/>
        <w:ind w:firstLine="284"/>
        <w:jc w:val="both"/>
        <w:rPr>
          <w:i/>
        </w:rPr>
      </w:pPr>
      <w:r>
        <w:t xml:space="preserve">- 2002: </w:t>
      </w:r>
      <w:r w:rsidR="00B203CB">
        <w:t>intervento</w:t>
      </w:r>
      <w:r>
        <w:t xml:space="preserve"> al Seminario </w:t>
      </w:r>
      <w:r w:rsidRPr="001E7431">
        <w:t>europeo</w:t>
      </w:r>
      <w:r w:rsidRPr="00CE7228">
        <w:rPr>
          <w:color w:val="FF0000"/>
        </w:rPr>
        <w:t xml:space="preserve"> </w:t>
      </w:r>
      <w:r>
        <w:t xml:space="preserve">organizzato dal Consiglio Superiore della Magistratura nell’ambito del Progetto </w:t>
      </w:r>
      <w:r w:rsidRPr="00CE7228">
        <w:rPr>
          <w:i/>
        </w:rPr>
        <w:t>Grotius civile</w:t>
      </w:r>
    </w:p>
    <w:p w14:paraId="3D20F87C" w14:textId="77777777" w:rsidR="00DC5E0B" w:rsidRDefault="00DC5E0B" w:rsidP="00947E6D">
      <w:pPr>
        <w:spacing w:line="360" w:lineRule="auto"/>
        <w:jc w:val="both"/>
      </w:pPr>
    </w:p>
    <w:p w14:paraId="2972C416" w14:textId="36C3BBEE" w:rsidR="003F7FE3" w:rsidRDefault="00492185" w:rsidP="003F7FE3">
      <w:pPr>
        <w:widowControl w:val="0"/>
        <w:spacing w:line="480" w:lineRule="atLeast"/>
        <w:jc w:val="both"/>
        <w:rPr>
          <w:b/>
        </w:rPr>
      </w:pPr>
      <w:r>
        <w:rPr>
          <w:b/>
        </w:rPr>
        <w:t>Principali</w:t>
      </w:r>
      <w:r w:rsidR="00146CFA">
        <w:rPr>
          <w:b/>
        </w:rPr>
        <w:t xml:space="preserve"> </w:t>
      </w:r>
      <w:r w:rsidR="003F7FE3">
        <w:rPr>
          <w:b/>
        </w:rPr>
        <w:t>pubblicazioni:</w:t>
      </w:r>
    </w:p>
    <w:p w14:paraId="0E0D7301" w14:textId="3501A32A" w:rsidR="00492185" w:rsidRDefault="00492185" w:rsidP="003F7FE3">
      <w:pPr>
        <w:widowControl w:val="0"/>
        <w:spacing w:line="480" w:lineRule="atLeast"/>
        <w:jc w:val="both"/>
        <w:rPr>
          <w:b/>
        </w:rPr>
      </w:pPr>
    </w:p>
    <w:p w14:paraId="1ADD45C5" w14:textId="4C8D2F5E" w:rsidR="00492185" w:rsidRPr="00947E6D" w:rsidRDefault="00492185" w:rsidP="003F7FE3">
      <w:pPr>
        <w:widowControl w:val="0"/>
        <w:spacing w:line="480" w:lineRule="atLeast"/>
        <w:jc w:val="both"/>
        <w:rPr>
          <w:u w:val="single"/>
        </w:rPr>
      </w:pPr>
      <w:r w:rsidRPr="00947E6D">
        <w:rPr>
          <w:u w:val="single"/>
        </w:rPr>
        <w:t>Monografie</w:t>
      </w:r>
    </w:p>
    <w:p w14:paraId="5F5F04A2" w14:textId="74D1B9E0" w:rsidR="00492185" w:rsidRDefault="00492185" w:rsidP="003F7FE3">
      <w:pPr>
        <w:widowControl w:val="0"/>
        <w:spacing w:line="480" w:lineRule="atLeast"/>
        <w:jc w:val="both"/>
      </w:pPr>
      <w:r>
        <w:t xml:space="preserve">- </w:t>
      </w:r>
      <w:r>
        <w:rPr>
          <w:i/>
        </w:rPr>
        <w:t>Le trasformazioni eterogenee</w:t>
      </w:r>
      <w:r>
        <w:t>, Torino, Giappichelli, 2010 (rist</w:t>
      </w:r>
      <w:r w:rsidR="00182BB8">
        <w:t>.</w:t>
      </w:r>
      <w:r>
        <w:t xml:space="preserve"> agg</w:t>
      </w:r>
      <w:r w:rsidR="00182BB8">
        <w:t>.</w:t>
      </w:r>
      <w:r>
        <w:t xml:space="preserve"> e ampliata), pp. IX-198</w:t>
      </w:r>
    </w:p>
    <w:p w14:paraId="745EFF70" w14:textId="748C0CB3" w:rsidR="00182BB8" w:rsidRDefault="00182BB8" w:rsidP="00182BB8">
      <w:pPr>
        <w:widowControl w:val="0"/>
        <w:tabs>
          <w:tab w:val="num" w:pos="644"/>
        </w:tabs>
        <w:spacing w:line="480" w:lineRule="atLeast"/>
        <w:jc w:val="both"/>
        <w:rPr>
          <w:b/>
        </w:rPr>
      </w:pPr>
      <w:r>
        <w:rPr>
          <w:b/>
        </w:rPr>
        <w:t xml:space="preserve">- </w:t>
      </w:r>
      <w:r>
        <w:rPr>
          <w:i/>
        </w:rPr>
        <w:t>Le trasformazioni eterogenee</w:t>
      </w:r>
      <w:r>
        <w:t>, Torino, Giappichelli, 2008, pp. IX-156</w:t>
      </w:r>
    </w:p>
    <w:p w14:paraId="4985BB2D" w14:textId="4890C193" w:rsidR="00492185" w:rsidRDefault="00492185" w:rsidP="00182BB8">
      <w:pPr>
        <w:widowControl w:val="0"/>
        <w:tabs>
          <w:tab w:val="num" w:pos="644"/>
        </w:tabs>
        <w:spacing w:line="480" w:lineRule="atLeast"/>
        <w:ind w:left="142"/>
        <w:jc w:val="both"/>
      </w:pPr>
      <w:r>
        <w:rPr>
          <w:b/>
        </w:rPr>
        <w:t xml:space="preserve">- </w:t>
      </w:r>
      <w:r>
        <w:rPr>
          <w:i/>
        </w:rPr>
        <w:t>Titoli di massa e nuovo diritto delle società</w:t>
      </w:r>
      <w:r>
        <w:t>, Padova, CEDAM, 2004 (monografia), pp. 154.</w:t>
      </w:r>
    </w:p>
    <w:p w14:paraId="0873D702" w14:textId="562CB2F3" w:rsidR="00492185" w:rsidRDefault="00492185" w:rsidP="003F7FE3">
      <w:pPr>
        <w:widowControl w:val="0"/>
        <w:spacing w:line="480" w:lineRule="atLeast"/>
        <w:jc w:val="both"/>
        <w:rPr>
          <w:b/>
        </w:rPr>
      </w:pPr>
    </w:p>
    <w:p w14:paraId="45092A1E" w14:textId="77777777" w:rsidR="00492185" w:rsidRPr="00492185" w:rsidRDefault="00492185" w:rsidP="00492185">
      <w:pPr>
        <w:pStyle w:val="NormaleWeb"/>
        <w:jc w:val="both"/>
        <w:rPr>
          <w:color w:val="000000" w:themeColor="text1"/>
          <w:u w:val="single"/>
        </w:rPr>
      </w:pPr>
      <w:r w:rsidRPr="00492185">
        <w:rPr>
          <w:color w:val="000000" w:themeColor="text1"/>
          <w:u w:val="single"/>
        </w:rPr>
        <w:t>Articoli su Riviste di classe A</w:t>
      </w:r>
    </w:p>
    <w:p w14:paraId="0BD9FE9B" w14:textId="7390C93F" w:rsidR="00492185" w:rsidRDefault="00182BB8" w:rsidP="003F7FE3">
      <w:pPr>
        <w:widowControl w:val="0"/>
        <w:spacing w:line="480" w:lineRule="atLeast"/>
        <w:jc w:val="both"/>
        <w:rPr>
          <w:szCs w:val="24"/>
        </w:rPr>
      </w:pPr>
      <w:r>
        <w:rPr>
          <w:i/>
          <w:iCs/>
          <w:szCs w:val="24"/>
        </w:rPr>
        <w:t>- L’«arbitrato economico» come gestione sostitutiva</w:t>
      </w:r>
      <w:r>
        <w:rPr>
          <w:szCs w:val="24"/>
        </w:rPr>
        <w:t xml:space="preserve">, in corso di pubblicazione in </w:t>
      </w:r>
      <w:r>
        <w:rPr>
          <w:i/>
          <w:iCs/>
          <w:szCs w:val="24"/>
        </w:rPr>
        <w:t>Riv. soc.</w:t>
      </w:r>
      <w:r>
        <w:rPr>
          <w:szCs w:val="24"/>
        </w:rPr>
        <w:t>, 2020</w:t>
      </w:r>
    </w:p>
    <w:p w14:paraId="1485647C" w14:textId="77C9B5F3" w:rsidR="00182BB8" w:rsidRDefault="00182BB8" w:rsidP="003F7FE3">
      <w:pPr>
        <w:widowControl w:val="0"/>
        <w:spacing w:line="480" w:lineRule="atLeast"/>
        <w:jc w:val="both"/>
        <w:rPr>
          <w:szCs w:val="24"/>
        </w:rPr>
      </w:pPr>
      <w:r>
        <w:rPr>
          <w:b/>
        </w:rPr>
        <w:t xml:space="preserve">- </w:t>
      </w:r>
      <w:r>
        <w:rPr>
          <w:i/>
          <w:iCs/>
          <w:szCs w:val="24"/>
        </w:rPr>
        <w:t>Dai codici di commercio alle quote di genere: uno sguardo ai diritti fondamentali</w:t>
      </w:r>
      <w:r>
        <w:rPr>
          <w:szCs w:val="24"/>
        </w:rPr>
        <w:t xml:space="preserve">, in corso di pubblicazione in </w:t>
      </w:r>
      <w:r>
        <w:rPr>
          <w:i/>
          <w:iCs/>
          <w:szCs w:val="24"/>
        </w:rPr>
        <w:t>Riv. dir. comm.</w:t>
      </w:r>
      <w:r>
        <w:rPr>
          <w:szCs w:val="24"/>
        </w:rPr>
        <w:t>, 2020</w:t>
      </w:r>
    </w:p>
    <w:p w14:paraId="599BE84A" w14:textId="3245495F" w:rsidR="00182BB8" w:rsidRDefault="00182BB8" w:rsidP="003F7FE3">
      <w:pPr>
        <w:widowControl w:val="0"/>
        <w:spacing w:line="480" w:lineRule="atLeast"/>
        <w:jc w:val="both"/>
        <w:rPr>
          <w:iCs/>
          <w:szCs w:val="24"/>
        </w:rPr>
      </w:pPr>
      <w:r>
        <w:rPr>
          <w:b/>
        </w:rPr>
        <w:t xml:space="preserve">- </w:t>
      </w:r>
      <w:r>
        <w:rPr>
          <w:i/>
          <w:szCs w:val="24"/>
        </w:rPr>
        <w:t>Atti pregiudizievoli: aspetti problematici vecchi e nuovi</w:t>
      </w:r>
      <w:r>
        <w:rPr>
          <w:iCs/>
          <w:szCs w:val="24"/>
        </w:rPr>
        <w:t xml:space="preserve">, in </w:t>
      </w:r>
      <w:r>
        <w:rPr>
          <w:i/>
          <w:szCs w:val="24"/>
        </w:rPr>
        <w:t>Nuova giur. civ. comm.</w:t>
      </w:r>
      <w:r>
        <w:rPr>
          <w:iCs/>
          <w:szCs w:val="24"/>
        </w:rPr>
        <w:t>, 2019, pp. 1118-1128</w:t>
      </w:r>
    </w:p>
    <w:p w14:paraId="271C9356" w14:textId="19720E98" w:rsidR="00182BB8" w:rsidRPr="001D6C34" w:rsidRDefault="00182BB8" w:rsidP="003F7FE3">
      <w:pPr>
        <w:widowControl w:val="0"/>
        <w:spacing w:line="480" w:lineRule="atLeast"/>
        <w:jc w:val="both"/>
        <w:rPr>
          <w:szCs w:val="24"/>
        </w:rPr>
      </w:pPr>
      <w:r>
        <w:rPr>
          <w:b/>
        </w:rPr>
        <w:t xml:space="preserve">- </w:t>
      </w:r>
      <w:r w:rsidRPr="00DC264C">
        <w:rPr>
          <w:i/>
          <w:szCs w:val="24"/>
        </w:rPr>
        <w:t xml:space="preserve">Sulla titolarità dei segni di qualità: </w:t>
      </w:r>
      <w:r w:rsidRPr="00DC264C">
        <w:rPr>
          <w:szCs w:val="24"/>
        </w:rPr>
        <w:t>res communes omnium</w:t>
      </w:r>
      <w:r w:rsidRPr="00DC264C">
        <w:rPr>
          <w:i/>
          <w:szCs w:val="24"/>
        </w:rPr>
        <w:t>?</w:t>
      </w:r>
      <w:r>
        <w:rPr>
          <w:szCs w:val="24"/>
        </w:rPr>
        <w:t xml:space="preserve">, in </w:t>
      </w:r>
      <w:r w:rsidRPr="00DC264C">
        <w:rPr>
          <w:i/>
          <w:szCs w:val="24"/>
        </w:rPr>
        <w:t>Nuova giur. civ. comm.</w:t>
      </w:r>
      <w:r w:rsidRPr="00DC264C">
        <w:rPr>
          <w:szCs w:val="24"/>
        </w:rPr>
        <w:t>, 2</w:t>
      </w:r>
      <w:r>
        <w:rPr>
          <w:szCs w:val="24"/>
        </w:rPr>
        <w:t>018, pp. 444-452</w:t>
      </w:r>
      <w:r w:rsidR="001D6C34">
        <w:rPr>
          <w:szCs w:val="24"/>
        </w:rPr>
        <w:t xml:space="preserve"> e in </w:t>
      </w:r>
      <w:r w:rsidR="001D6C34">
        <w:rPr>
          <w:i/>
          <w:iCs/>
          <w:szCs w:val="24"/>
        </w:rPr>
        <w:t>Studi per Luigi Carlo Ubertazzi. Proprietà intellettuale e concorrenza</w:t>
      </w:r>
      <w:r w:rsidR="001D6C34">
        <w:rPr>
          <w:szCs w:val="24"/>
        </w:rPr>
        <w:t xml:space="preserve">, </w:t>
      </w:r>
      <w:r w:rsidR="001D6C34">
        <w:rPr>
          <w:szCs w:val="24"/>
        </w:rPr>
        <w:lastRenderedPageBreak/>
        <w:t>Milano, 2019</w:t>
      </w:r>
    </w:p>
    <w:p w14:paraId="0C67986A" w14:textId="741970F7" w:rsidR="00182BB8" w:rsidRDefault="00182BB8" w:rsidP="003F7FE3">
      <w:pPr>
        <w:widowControl w:val="0"/>
        <w:spacing w:line="480" w:lineRule="atLeast"/>
        <w:jc w:val="both"/>
        <w:rPr>
          <w:color w:val="000000" w:themeColor="text1"/>
        </w:rPr>
      </w:pPr>
      <w:r>
        <w:rPr>
          <w:b/>
        </w:rPr>
        <w:t xml:space="preserve">- </w:t>
      </w:r>
      <w:r>
        <w:rPr>
          <w:i/>
          <w:color w:val="000000" w:themeColor="text1"/>
        </w:rPr>
        <w:t>Voci dissonanti in tema di trasformazioni atipiche</w:t>
      </w:r>
      <w:r>
        <w:rPr>
          <w:color w:val="000000" w:themeColor="text1"/>
        </w:rPr>
        <w:t xml:space="preserve">, </w:t>
      </w:r>
      <w:r w:rsidRPr="00692E98">
        <w:rPr>
          <w:color w:val="000000" w:themeColor="text1"/>
        </w:rPr>
        <w:t xml:space="preserve">in </w:t>
      </w:r>
      <w:r w:rsidRPr="00692E98">
        <w:rPr>
          <w:i/>
          <w:color w:val="000000" w:themeColor="text1"/>
        </w:rPr>
        <w:t>Nuova giur. civ. comm.</w:t>
      </w:r>
      <w:r w:rsidRPr="00692E98">
        <w:rPr>
          <w:color w:val="000000" w:themeColor="text1"/>
        </w:rPr>
        <w:t>, 201</w:t>
      </w:r>
      <w:r>
        <w:rPr>
          <w:color w:val="000000" w:themeColor="text1"/>
        </w:rPr>
        <w:t>7, pp. 1697-1707</w:t>
      </w:r>
    </w:p>
    <w:p w14:paraId="0F0FB9C8" w14:textId="071C212C" w:rsidR="00182BB8" w:rsidRDefault="00182BB8" w:rsidP="003F7FE3">
      <w:pPr>
        <w:widowControl w:val="0"/>
        <w:spacing w:line="480" w:lineRule="atLeast"/>
        <w:jc w:val="both"/>
      </w:pPr>
      <w:r>
        <w:rPr>
          <w:b/>
        </w:rPr>
        <w:t xml:space="preserve">- </w:t>
      </w:r>
      <w:r>
        <w:rPr>
          <w:i/>
        </w:rPr>
        <w:t>Professione intellettuale forense tra concorrenza ed equo compenso</w:t>
      </w:r>
      <w:r>
        <w:t xml:space="preserve">, in </w:t>
      </w:r>
      <w:r>
        <w:rPr>
          <w:i/>
        </w:rPr>
        <w:t>Foro it.</w:t>
      </w:r>
      <w:r>
        <w:t>, 2017, V, cc. 355-360</w:t>
      </w:r>
    </w:p>
    <w:p w14:paraId="5D3146E3" w14:textId="44C989B8" w:rsidR="00182BB8" w:rsidRDefault="00182BB8" w:rsidP="003F7FE3">
      <w:pPr>
        <w:widowControl w:val="0"/>
        <w:spacing w:line="480" w:lineRule="atLeast"/>
        <w:jc w:val="both"/>
      </w:pPr>
      <w:r>
        <w:rPr>
          <w:b/>
        </w:rPr>
        <w:t xml:space="preserve">- </w:t>
      </w:r>
      <w:r>
        <w:rPr>
          <w:i/>
        </w:rPr>
        <w:t>L’iscrizione nel registro delle imprese come lecita ingerenza nel diritto al rispetto della vita privata</w:t>
      </w:r>
      <w:r>
        <w:t xml:space="preserve">, in </w:t>
      </w:r>
      <w:r w:rsidRPr="00A00CD5">
        <w:rPr>
          <w:i/>
        </w:rPr>
        <w:t>Nuova giur. civ. comm.</w:t>
      </w:r>
      <w:r w:rsidRPr="00A00CD5">
        <w:t>, 201</w:t>
      </w:r>
      <w:r>
        <w:t>7, I, pp. 1020-1027</w:t>
      </w:r>
    </w:p>
    <w:p w14:paraId="02B528EC" w14:textId="7F573861" w:rsidR="00FC4233" w:rsidRPr="00FC4233" w:rsidRDefault="00FC4233" w:rsidP="003F7FE3">
      <w:pPr>
        <w:widowControl w:val="0"/>
        <w:spacing w:line="480" w:lineRule="atLeast"/>
        <w:jc w:val="both"/>
        <w:rPr>
          <w:lang w:val="en-US"/>
        </w:rPr>
      </w:pPr>
      <w:r w:rsidRPr="00FC4233">
        <w:rPr>
          <w:lang w:val="en-US"/>
        </w:rPr>
        <w:t xml:space="preserve">- </w:t>
      </w:r>
      <w:r w:rsidRPr="00501664">
        <w:rPr>
          <w:i/>
          <w:lang w:val="en-US"/>
        </w:rPr>
        <w:t>Business and Human Rights: Does a</w:t>
      </w:r>
      <w:r>
        <w:rPr>
          <w:i/>
          <w:lang w:val="en-US"/>
        </w:rPr>
        <w:t xml:space="preserve"> Right to Be Forgotten Exist?</w:t>
      </w:r>
      <w:r>
        <w:rPr>
          <w:lang w:val="en-US"/>
        </w:rPr>
        <w:t xml:space="preserve">, in </w:t>
      </w:r>
      <w:r>
        <w:rPr>
          <w:i/>
          <w:lang w:val="en-US"/>
        </w:rPr>
        <w:t>The EuroAtlantic Union Review</w:t>
      </w:r>
      <w:r>
        <w:rPr>
          <w:lang w:val="en-US"/>
        </w:rPr>
        <w:t xml:space="preserve">, </w:t>
      </w:r>
      <w:r w:rsidR="002764D6">
        <w:rPr>
          <w:lang w:val="en-US"/>
        </w:rPr>
        <w:t xml:space="preserve">n. </w:t>
      </w:r>
      <w:r>
        <w:rPr>
          <w:lang w:val="en-US"/>
        </w:rPr>
        <w:t>2</w:t>
      </w:r>
      <w:r w:rsidR="002764D6">
        <w:rPr>
          <w:lang w:val="en-US"/>
        </w:rPr>
        <w:t xml:space="preserve">, </w:t>
      </w:r>
      <w:r>
        <w:rPr>
          <w:lang w:val="en-US"/>
        </w:rPr>
        <w:t>2016, p. 107-118</w:t>
      </w:r>
    </w:p>
    <w:p w14:paraId="570EC1B1" w14:textId="772460CE" w:rsidR="00FC4233" w:rsidRDefault="00FC4233" w:rsidP="003F7FE3">
      <w:pPr>
        <w:widowControl w:val="0"/>
        <w:spacing w:line="480" w:lineRule="atLeast"/>
        <w:jc w:val="both"/>
      </w:pPr>
      <w:r>
        <w:t xml:space="preserve">- </w:t>
      </w:r>
      <w:r w:rsidRPr="007D43EA">
        <w:rPr>
          <w:i/>
        </w:rPr>
        <w:t>Pubblicità commerciale e «diritto all’oblio» nella prospettiva dei diritti dell’uomo</w:t>
      </w:r>
      <w:r>
        <w:t xml:space="preserve">, </w:t>
      </w:r>
      <w:r w:rsidRPr="007D43EA">
        <w:t xml:space="preserve">in </w:t>
      </w:r>
      <w:r w:rsidRPr="007D43EA">
        <w:rPr>
          <w:i/>
        </w:rPr>
        <w:t>Nuova giur. civ. comm</w:t>
      </w:r>
      <w:r>
        <w:rPr>
          <w:i/>
        </w:rPr>
        <w:t>.</w:t>
      </w:r>
      <w:r w:rsidRPr="007D43EA">
        <w:t>, 201</w:t>
      </w:r>
      <w:r>
        <w:t>6, II, pp. 634-641</w:t>
      </w:r>
    </w:p>
    <w:p w14:paraId="1F1A85CA" w14:textId="501AE603" w:rsidR="00FC4233" w:rsidRDefault="00FC4233" w:rsidP="003F7FE3">
      <w:pPr>
        <w:widowControl w:val="0"/>
        <w:spacing w:line="480" w:lineRule="atLeast"/>
        <w:jc w:val="both"/>
      </w:pPr>
      <w:r>
        <w:t xml:space="preserve">- </w:t>
      </w:r>
      <w:r>
        <w:rPr>
          <w:i/>
        </w:rPr>
        <w:t>Trasformazione eterogenea regressiva di società a capitale pubblico</w:t>
      </w:r>
      <w:r>
        <w:t xml:space="preserve">, in </w:t>
      </w:r>
      <w:r w:rsidRPr="00AA2E4F">
        <w:rPr>
          <w:i/>
        </w:rPr>
        <w:t>Giur</w:t>
      </w:r>
      <w:r>
        <w:rPr>
          <w:i/>
        </w:rPr>
        <w:t>.</w:t>
      </w:r>
      <w:r w:rsidRPr="00AA2E4F">
        <w:rPr>
          <w:i/>
        </w:rPr>
        <w:t xml:space="preserve"> comm.</w:t>
      </w:r>
      <w:r>
        <w:rPr>
          <w:i/>
        </w:rPr>
        <w:t>,</w:t>
      </w:r>
      <w:r>
        <w:t xml:space="preserve"> 2015, II, p. 919-933</w:t>
      </w:r>
    </w:p>
    <w:p w14:paraId="32F6D5D6" w14:textId="69EE2475" w:rsidR="002764D6" w:rsidRDefault="002764D6" w:rsidP="003F7FE3">
      <w:pPr>
        <w:widowControl w:val="0"/>
        <w:spacing w:line="480" w:lineRule="atLeast"/>
        <w:jc w:val="both"/>
      </w:pPr>
      <w:r>
        <w:t>-</w:t>
      </w:r>
      <w:r>
        <w:rPr>
          <w:i/>
        </w:rPr>
        <w:t xml:space="preserve"> Equitalia società “legale”</w:t>
      </w:r>
      <w:r>
        <w:t>, in</w:t>
      </w:r>
      <w:r w:rsidRPr="003E17E2">
        <w:rPr>
          <w:i/>
        </w:rPr>
        <w:t xml:space="preserve"> Riv. dir. trib</w:t>
      </w:r>
      <w:r>
        <w:rPr>
          <w:i/>
        </w:rPr>
        <w:t>.</w:t>
      </w:r>
      <w:r>
        <w:t>, 2015, I, p. 179-191</w:t>
      </w:r>
    </w:p>
    <w:p w14:paraId="25B17CEB" w14:textId="29657C85" w:rsidR="00182BB8" w:rsidRDefault="00182BB8" w:rsidP="003F7FE3">
      <w:pPr>
        <w:widowControl w:val="0"/>
        <w:spacing w:line="480" w:lineRule="atLeast"/>
        <w:jc w:val="both"/>
      </w:pPr>
      <w:r>
        <w:rPr>
          <w:b/>
        </w:rPr>
        <w:t xml:space="preserve">- </w:t>
      </w:r>
      <w:r>
        <w:rPr>
          <w:i/>
        </w:rPr>
        <w:t xml:space="preserve">Riflessioni su </w:t>
      </w:r>
      <w:r w:rsidRPr="00B45F9B">
        <w:rPr>
          <w:i/>
        </w:rPr>
        <w:t>professione intellettuale forense, liberalizzazione dei compensi e disciplina contrattuale</w:t>
      </w:r>
      <w:r>
        <w:t xml:space="preserve">, in </w:t>
      </w:r>
      <w:r>
        <w:rPr>
          <w:i/>
        </w:rPr>
        <w:t>Nuova giur. civ. comm.</w:t>
      </w:r>
      <w:r>
        <w:t>, 2013, II, pp. 165-178</w:t>
      </w:r>
    </w:p>
    <w:p w14:paraId="3566C8FE" w14:textId="16064160" w:rsidR="00FC4233" w:rsidRDefault="00FC4233" w:rsidP="003F7FE3">
      <w:pPr>
        <w:widowControl w:val="0"/>
        <w:spacing w:line="480" w:lineRule="atLeast"/>
        <w:jc w:val="both"/>
      </w:pPr>
      <w:r>
        <w:t xml:space="preserve">- </w:t>
      </w:r>
      <w:r>
        <w:rPr>
          <w:i/>
        </w:rPr>
        <w:t>Le opere orfane nella prospettiva delle formalità costitutive e pubblicitarie</w:t>
      </w:r>
      <w:r>
        <w:t xml:space="preserve">, in </w:t>
      </w:r>
      <w:r w:rsidRPr="0096142F">
        <w:rPr>
          <w:i/>
        </w:rPr>
        <w:t>AIDA</w:t>
      </w:r>
      <w:r>
        <w:t xml:space="preserve">, 2013, pp. </w:t>
      </w:r>
      <w:r w:rsidRPr="004E7317">
        <w:t>107-</w:t>
      </w:r>
      <w:r>
        <w:t>116</w:t>
      </w:r>
    </w:p>
    <w:p w14:paraId="2EFA017C" w14:textId="746968E3" w:rsidR="00182BB8" w:rsidRDefault="00182BB8" w:rsidP="003F7FE3">
      <w:pPr>
        <w:widowControl w:val="0"/>
        <w:spacing w:line="480" w:lineRule="atLeast"/>
        <w:jc w:val="both"/>
      </w:pPr>
      <w:r>
        <w:t xml:space="preserve">- </w:t>
      </w:r>
      <w:r w:rsidRPr="00313DA4">
        <w:rPr>
          <w:i/>
        </w:rPr>
        <w:t>Società di capitali e diritti dell’uomo</w:t>
      </w:r>
      <w:r>
        <w:t xml:space="preserve">, in </w:t>
      </w:r>
      <w:r w:rsidRPr="00313DA4">
        <w:rPr>
          <w:i/>
        </w:rPr>
        <w:t>Riv. dir. civ.</w:t>
      </w:r>
      <w:r>
        <w:t>, 2012, I, pp. 205-241</w:t>
      </w:r>
    </w:p>
    <w:p w14:paraId="3536C02A" w14:textId="5FA3B9F5" w:rsidR="00182BB8" w:rsidRDefault="00182BB8" w:rsidP="00182BB8">
      <w:pPr>
        <w:widowControl w:val="0"/>
        <w:spacing w:line="480" w:lineRule="atLeast"/>
        <w:jc w:val="both"/>
      </w:pPr>
      <w:r>
        <w:t xml:space="preserve">- </w:t>
      </w:r>
      <w:r>
        <w:rPr>
          <w:i/>
        </w:rPr>
        <w:t>In tema di trasformazioni eterogenee innominate</w:t>
      </w:r>
      <w:r>
        <w:t xml:space="preserve">, in </w:t>
      </w:r>
      <w:r>
        <w:rPr>
          <w:i/>
        </w:rPr>
        <w:t>Giur. comm.</w:t>
      </w:r>
      <w:r>
        <w:t>, 2012, II, p. 1043-1049</w:t>
      </w:r>
    </w:p>
    <w:p w14:paraId="2721D667" w14:textId="495AA897" w:rsidR="00FC4233" w:rsidRDefault="00FC4233" w:rsidP="00182BB8">
      <w:pPr>
        <w:widowControl w:val="0"/>
        <w:spacing w:line="480" w:lineRule="atLeast"/>
        <w:jc w:val="both"/>
      </w:pPr>
      <w:r>
        <w:t xml:space="preserve">- </w:t>
      </w:r>
      <w:r w:rsidRPr="0009221A">
        <w:rPr>
          <w:i/>
        </w:rPr>
        <w:t xml:space="preserve">Sui rapporti giuridici tra utilizzatori, produttori, </w:t>
      </w:r>
      <w:r w:rsidRPr="00C156BD">
        <w:t>collecting</w:t>
      </w:r>
      <w:r w:rsidRPr="0009221A">
        <w:rPr>
          <w:i/>
        </w:rPr>
        <w:t xml:space="preserve"> ed artisti</w:t>
      </w:r>
      <w:r>
        <w:t xml:space="preserve">, in </w:t>
      </w:r>
      <w:r>
        <w:rPr>
          <w:i/>
        </w:rPr>
        <w:t>AIDA</w:t>
      </w:r>
      <w:r>
        <w:t>, 2012, pp. 65-75</w:t>
      </w:r>
    </w:p>
    <w:p w14:paraId="328E1172" w14:textId="1BC43A0D" w:rsidR="00182BB8" w:rsidRDefault="00182BB8" w:rsidP="003F7FE3">
      <w:pPr>
        <w:widowControl w:val="0"/>
        <w:spacing w:line="480" w:lineRule="atLeast"/>
        <w:jc w:val="both"/>
      </w:pPr>
      <w:r>
        <w:rPr>
          <w:b/>
        </w:rPr>
        <w:t xml:space="preserve">- </w:t>
      </w:r>
      <w:r>
        <w:rPr>
          <w:i/>
        </w:rPr>
        <w:t xml:space="preserve">Profili di </w:t>
      </w:r>
      <w:r w:rsidRPr="00DD11F7">
        <w:rPr>
          <w:i/>
        </w:rPr>
        <w:t>illegittimità costituzionale delle recenti modifiche alla circolazione degli assegni</w:t>
      </w:r>
      <w:r>
        <w:t xml:space="preserve">, in </w:t>
      </w:r>
      <w:r w:rsidRPr="00DD11F7">
        <w:rPr>
          <w:i/>
        </w:rPr>
        <w:t>Riv. dir. comm.</w:t>
      </w:r>
      <w:r>
        <w:t>, 2008, I, pp. 835-843</w:t>
      </w:r>
    </w:p>
    <w:p w14:paraId="51F3B401" w14:textId="3F06FE22" w:rsidR="00182BB8" w:rsidRDefault="00182BB8" w:rsidP="003F7FE3">
      <w:pPr>
        <w:widowControl w:val="0"/>
        <w:spacing w:line="480" w:lineRule="atLeast"/>
        <w:jc w:val="both"/>
      </w:pPr>
      <w:r>
        <w:rPr>
          <w:b/>
        </w:rPr>
        <w:t xml:space="preserve">- </w:t>
      </w:r>
      <w:r>
        <w:rPr>
          <w:i/>
        </w:rPr>
        <w:t>Questioni in tema di trasformazione eterogenea e pubblicità</w:t>
      </w:r>
      <w:r>
        <w:t xml:space="preserve">, in </w:t>
      </w:r>
      <w:r>
        <w:rPr>
          <w:i/>
        </w:rPr>
        <w:t>Giur. it.</w:t>
      </w:r>
      <w:r>
        <w:t>, 2008, p. 665-668</w:t>
      </w:r>
    </w:p>
    <w:p w14:paraId="0A50228A" w14:textId="55600735" w:rsidR="00182BB8" w:rsidRDefault="00182BB8" w:rsidP="003F7FE3">
      <w:pPr>
        <w:widowControl w:val="0"/>
        <w:spacing w:line="480" w:lineRule="atLeast"/>
        <w:jc w:val="both"/>
      </w:pPr>
      <w:r>
        <w:rPr>
          <w:b/>
        </w:rPr>
        <w:t xml:space="preserve">- </w:t>
      </w:r>
      <w:r>
        <w:rPr>
          <w:i/>
        </w:rPr>
        <w:t>Trasformazioni eterogenee: note introduttive</w:t>
      </w:r>
      <w:r>
        <w:t xml:space="preserve">, in </w:t>
      </w:r>
      <w:r>
        <w:rPr>
          <w:i/>
        </w:rPr>
        <w:t>Riv. dir. civ.</w:t>
      </w:r>
      <w:r>
        <w:t>, 2006, II, pp.429-438</w:t>
      </w:r>
    </w:p>
    <w:p w14:paraId="60015F28" w14:textId="3C150BF1" w:rsidR="00182BB8" w:rsidRDefault="00182BB8" w:rsidP="003F7FE3">
      <w:pPr>
        <w:widowControl w:val="0"/>
        <w:spacing w:line="480" w:lineRule="atLeast"/>
        <w:jc w:val="both"/>
      </w:pPr>
      <w:r>
        <w:t xml:space="preserve">- </w:t>
      </w:r>
      <w:r>
        <w:rPr>
          <w:i/>
        </w:rPr>
        <w:t>Un nuovo limite all’emissione di obbligazioni</w:t>
      </w:r>
      <w:r>
        <w:t xml:space="preserve">, in </w:t>
      </w:r>
      <w:r>
        <w:rPr>
          <w:i/>
        </w:rPr>
        <w:t>Riv. dir. civ.</w:t>
      </w:r>
      <w:r>
        <w:t>, 2005, II, pp. 169-175</w:t>
      </w:r>
    </w:p>
    <w:p w14:paraId="0E77E8E8" w14:textId="7654DE1C" w:rsidR="00182BB8" w:rsidRDefault="00182BB8" w:rsidP="003F7FE3">
      <w:pPr>
        <w:widowControl w:val="0"/>
        <w:spacing w:line="480" w:lineRule="atLeast"/>
        <w:jc w:val="both"/>
      </w:pPr>
      <w:r>
        <w:t xml:space="preserve">- </w:t>
      </w:r>
      <w:r>
        <w:rPr>
          <w:i/>
        </w:rPr>
        <w:t>Osservazioni in tema di mandato ad intermediario abusivo ad acquistare titoli al portatore</w:t>
      </w:r>
      <w:r>
        <w:t xml:space="preserve">, </w:t>
      </w:r>
      <w:r>
        <w:lastRenderedPageBreak/>
        <w:t>in</w:t>
      </w:r>
      <w:r>
        <w:rPr>
          <w:i/>
        </w:rPr>
        <w:t xml:space="preserve"> Banca, borsa e titoli di cred.</w:t>
      </w:r>
      <w:r>
        <w:t>, 2003, II, pp. 607-615</w:t>
      </w:r>
    </w:p>
    <w:p w14:paraId="30D9DDB2" w14:textId="2D80C5D0" w:rsidR="00182BB8" w:rsidRDefault="00182BB8" w:rsidP="003F7FE3">
      <w:pPr>
        <w:widowControl w:val="0"/>
        <w:spacing w:line="480" w:lineRule="atLeast"/>
        <w:jc w:val="both"/>
      </w:pPr>
      <w:r>
        <w:t xml:space="preserve">- </w:t>
      </w:r>
      <w:r>
        <w:rPr>
          <w:i/>
        </w:rPr>
        <w:t xml:space="preserve">Le </w:t>
      </w:r>
      <w:r>
        <w:t>casse peote</w:t>
      </w:r>
      <w:r>
        <w:rPr>
          <w:i/>
        </w:rPr>
        <w:t xml:space="preserve"> del Veneto e la nuova legge bancaria</w:t>
      </w:r>
      <w:r>
        <w:t xml:space="preserve">, in </w:t>
      </w:r>
      <w:r>
        <w:rPr>
          <w:i/>
        </w:rPr>
        <w:t>Banca, borsa e titoli di cred.</w:t>
      </w:r>
      <w:r>
        <w:t>, 2000, I, pp. 369-398</w:t>
      </w:r>
    </w:p>
    <w:p w14:paraId="40317FA0" w14:textId="34EB65F9" w:rsidR="00182BB8" w:rsidRDefault="00182BB8" w:rsidP="003F7FE3">
      <w:pPr>
        <w:widowControl w:val="0"/>
        <w:spacing w:line="480" w:lineRule="atLeast"/>
        <w:jc w:val="both"/>
      </w:pPr>
      <w:r>
        <w:t xml:space="preserve">- </w:t>
      </w:r>
      <w:r>
        <w:rPr>
          <w:i/>
        </w:rPr>
        <w:t>In tema di società di mediazione riassicurativa</w:t>
      </w:r>
      <w:r>
        <w:t xml:space="preserve">, in </w:t>
      </w:r>
      <w:r>
        <w:rPr>
          <w:i/>
        </w:rPr>
        <w:t>Giur. comm.</w:t>
      </w:r>
      <w:r>
        <w:t>, 1988, II, pp. 298-302</w:t>
      </w:r>
    </w:p>
    <w:p w14:paraId="39C06E68" w14:textId="6A95DE68" w:rsidR="00182BB8" w:rsidRDefault="00FC4233" w:rsidP="003F7FE3">
      <w:pPr>
        <w:widowControl w:val="0"/>
        <w:spacing w:line="480" w:lineRule="atLeast"/>
        <w:jc w:val="both"/>
      </w:pPr>
      <w:r>
        <w:rPr>
          <w:b/>
        </w:rPr>
        <w:t xml:space="preserve">- </w:t>
      </w:r>
      <w:r>
        <w:rPr>
          <w:i/>
        </w:rPr>
        <w:t xml:space="preserve">Commentario </w:t>
      </w:r>
      <w:r>
        <w:t>(sub art. 5)</w:t>
      </w:r>
      <w:r>
        <w:rPr>
          <w:i/>
        </w:rPr>
        <w:t xml:space="preserve"> alla legge 28 novembre 1984, n. 792 (Istituzione e funzionamento dell’albo dei mediatori di assicurazione)</w:t>
      </w:r>
      <w:r>
        <w:t xml:space="preserve">, in </w:t>
      </w:r>
      <w:r>
        <w:rPr>
          <w:i/>
        </w:rPr>
        <w:t>Nuove leggi civ. comm.</w:t>
      </w:r>
      <w:r>
        <w:t>, 1985, pp. 764-773</w:t>
      </w:r>
    </w:p>
    <w:p w14:paraId="12822FEC" w14:textId="1EB6BB82" w:rsidR="00FC4233" w:rsidRDefault="00FC4233" w:rsidP="003F7FE3">
      <w:pPr>
        <w:widowControl w:val="0"/>
        <w:spacing w:line="480" w:lineRule="atLeast"/>
        <w:jc w:val="both"/>
      </w:pPr>
      <w:r>
        <w:rPr>
          <w:b/>
        </w:rPr>
        <w:t xml:space="preserve">- </w:t>
      </w:r>
      <w:r>
        <w:rPr>
          <w:i/>
        </w:rPr>
        <w:t>Il problema dell’acquisto originario del titolo di credito</w:t>
      </w:r>
      <w:r>
        <w:t xml:space="preserve">, in </w:t>
      </w:r>
      <w:r>
        <w:rPr>
          <w:i/>
        </w:rPr>
        <w:t>Riv. dir. civ.</w:t>
      </w:r>
      <w:r>
        <w:t>, 1984, I, pp. 332-358</w:t>
      </w:r>
    </w:p>
    <w:p w14:paraId="63442305" w14:textId="533CAE83" w:rsidR="00FC4233" w:rsidRDefault="00FC4233" w:rsidP="003F7FE3">
      <w:pPr>
        <w:widowControl w:val="0"/>
        <w:spacing w:line="480" w:lineRule="atLeast"/>
        <w:jc w:val="both"/>
      </w:pPr>
    </w:p>
    <w:p w14:paraId="41F03301" w14:textId="77777777" w:rsidR="00FC4233" w:rsidRPr="00FC4233" w:rsidRDefault="00FC4233" w:rsidP="00FC4233">
      <w:pPr>
        <w:pStyle w:val="NormaleWeb"/>
        <w:jc w:val="both"/>
        <w:rPr>
          <w:color w:val="000000" w:themeColor="text1"/>
          <w:u w:val="single"/>
        </w:rPr>
      </w:pPr>
      <w:r w:rsidRPr="00FC4233">
        <w:rPr>
          <w:color w:val="000000" w:themeColor="text1"/>
          <w:u w:val="single"/>
        </w:rPr>
        <w:t>Contributi in volumi</w:t>
      </w:r>
    </w:p>
    <w:p w14:paraId="01D42D6E" w14:textId="0A252A79" w:rsidR="002764D6" w:rsidRPr="00A93F7D" w:rsidRDefault="002764D6" w:rsidP="003F7FE3">
      <w:pPr>
        <w:widowControl w:val="0"/>
        <w:spacing w:line="480" w:lineRule="atLeast"/>
        <w:jc w:val="both"/>
      </w:pPr>
      <w:r>
        <w:t xml:space="preserve">- </w:t>
      </w:r>
      <w:r w:rsidR="00A93F7D" w:rsidRPr="00A93F7D">
        <w:rPr>
          <w:i/>
          <w:iCs/>
        </w:rPr>
        <w:t>L’arbitrato «gestionale»</w:t>
      </w:r>
      <w:r w:rsidR="00A93F7D">
        <w:t>,</w:t>
      </w:r>
      <w:r w:rsidRPr="00A93F7D">
        <w:t xml:space="preserve"> in corso di pubblicazione</w:t>
      </w:r>
      <w:r w:rsidR="00A93F7D" w:rsidRPr="00A93F7D">
        <w:t xml:space="preserve"> </w:t>
      </w:r>
      <w:r w:rsidR="00A93F7D">
        <w:t xml:space="preserve">nel </w:t>
      </w:r>
      <w:r w:rsidR="00A93F7D" w:rsidRPr="00A93F7D">
        <w:rPr>
          <w:i/>
          <w:iCs/>
        </w:rPr>
        <w:t xml:space="preserve">Trattato </w:t>
      </w:r>
      <w:r w:rsidR="00A93F7D">
        <w:rPr>
          <w:i/>
          <w:iCs/>
        </w:rPr>
        <w:t>dell’</w:t>
      </w:r>
      <w:r w:rsidR="00A93F7D" w:rsidRPr="00A93F7D">
        <w:rPr>
          <w:i/>
          <w:iCs/>
        </w:rPr>
        <w:t>arbitrato</w:t>
      </w:r>
      <w:r w:rsidR="00A93F7D">
        <w:t>, a cura di D. Mantucci, vol. I</w:t>
      </w:r>
      <w:r w:rsidR="00943CA3">
        <w:t>X</w:t>
      </w:r>
    </w:p>
    <w:p w14:paraId="605CA2D8" w14:textId="4EDB1243" w:rsidR="002764D6" w:rsidRDefault="002764D6" w:rsidP="003F7FE3">
      <w:pPr>
        <w:widowControl w:val="0"/>
        <w:spacing w:line="480" w:lineRule="atLeast"/>
        <w:jc w:val="both"/>
      </w:pPr>
      <w:r>
        <w:t xml:space="preserve">- </w:t>
      </w:r>
      <w:r>
        <w:rPr>
          <w:i/>
          <w:szCs w:val="24"/>
        </w:rPr>
        <w:t>Su abuso e frode in materia societaria</w:t>
      </w:r>
      <w:r>
        <w:rPr>
          <w:szCs w:val="24"/>
        </w:rPr>
        <w:t xml:space="preserve">, in </w:t>
      </w:r>
      <w:r>
        <w:rPr>
          <w:i/>
          <w:szCs w:val="24"/>
        </w:rPr>
        <w:t>L’abuso del diritto in materia tributaria e gli istituti del diritto civile e commerciale</w:t>
      </w:r>
      <w:r>
        <w:rPr>
          <w:szCs w:val="24"/>
        </w:rPr>
        <w:t xml:space="preserve">, a cura di F. Gallo e G. Scognamiglio, </w:t>
      </w:r>
      <w:r w:rsidR="001D5134">
        <w:rPr>
          <w:i/>
          <w:iCs/>
          <w:szCs w:val="24"/>
        </w:rPr>
        <w:t xml:space="preserve">Quaderni di Giurisprudenza commerciale, </w:t>
      </w:r>
      <w:r>
        <w:rPr>
          <w:szCs w:val="24"/>
        </w:rPr>
        <w:t>Milano, 2019</w:t>
      </w:r>
      <w:r w:rsidR="00943CA3">
        <w:rPr>
          <w:szCs w:val="24"/>
        </w:rPr>
        <w:t>,</w:t>
      </w:r>
      <w:r w:rsidRPr="002764D6">
        <w:rPr>
          <w:szCs w:val="24"/>
        </w:rPr>
        <w:t xml:space="preserve"> </w:t>
      </w:r>
      <w:r>
        <w:rPr>
          <w:szCs w:val="24"/>
        </w:rPr>
        <w:t>pp. 165-171</w:t>
      </w:r>
    </w:p>
    <w:p w14:paraId="46861B76" w14:textId="77777777" w:rsidR="001D5134" w:rsidRDefault="001D5134" w:rsidP="001D5134">
      <w:pPr>
        <w:widowControl w:val="0"/>
        <w:tabs>
          <w:tab w:val="num" w:pos="644"/>
        </w:tabs>
        <w:spacing w:line="480" w:lineRule="atLeast"/>
        <w:jc w:val="both"/>
      </w:pPr>
      <w:r>
        <w:t xml:space="preserve">- </w:t>
      </w:r>
      <w:r>
        <w:rPr>
          <w:i/>
          <w:szCs w:val="24"/>
        </w:rPr>
        <w:t xml:space="preserve">Finanza, </w:t>
      </w:r>
      <w:r>
        <w:rPr>
          <w:szCs w:val="24"/>
        </w:rPr>
        <w:t>big data</w:t>
      </w:r>
      <w:r>
        <w:rPr>
          <w:i/>
          <w:szCs w:val="24"/>
        </w:rPr>
        <w:t xml:space="preserve"> e vantaggi concorrenziali</w:t>
      </w:r>
      <w:r>
        <w:rPr>
          <w:szCs w:val="24"/>
        </w:rPr>
        <w:t xml:space="preserve">, in </w:t>
      </w:r>
      <w:r>
        <w:rPr>
          <w:i/>
          <w:szCs w:val="24"/>
        </w:rPr>
        <w:t>Fintech: diritto, tecnologia e finanza</w:t>
      </w:r>
      <w:r>
        <w:rPr>
          <w:szCs w:val="24"/>
        </w:rPr>
        <w:t xml:space="preserve">, a cura di R. Lener, </w:t>
      </w:r>
      <w:r>
        <w:rPr>
          <w:i/>
          <w:szCs w:val="24"/>
        </w:rPr>
        <w:t>Quaderni di Minerva Bancaria</w:t>
      </w:r>
      <w:r>
        <w:rPr>
          <w:szCs w:val="24"/>
        </w:rPr>
        <w:t>, 2018, p. 11-17</w:t>
      </w:r>
    </w:p>
    <w:p w14:paraId="22A61D1D" w14:textId="73840D0B" w:rsidR="00FC4233" w:rsidRDefault="00FC4233" w:rsidP="003F7FE3">
      <w:pPr>
        <w:widowControl w:val="0"/>
        <w:spacing w:line="480" w:lineRule="atLeast"/>
        <w:jc w:val="both"/>
      </w:pPr>
      <w:r>
        <w:t xml:space="preserve">- </w:t>
      </w:r>
      <w:r w:rsidR="002764D6" w:rsidRPr="00CC7E1A">
        <w:rPr>
          <w:i/>
        </w:rPr>
        <w:t>Registro delle imprese e tutela della riservatezza</w:t>
      </w:r>
      <w:r w:rsidR="002764D6">
        <w:t xml:space="preserve">, in </w:t>
      </w:r>
      <w:r w:rsidR="002764D6" w:rsidRPr="00CC7E1A">
        <w:rPr>
          <w:i/>
        </w:rPr>
        <w:t>Il registro delle imprese a vent’anni dalla sua attuazione</w:t>
      </w:r>
      <w:r w:rsidR="002764D6">
        <w:t>, a cura di Ibba e Demuro, Torino, 2017, p. 297-304</w:t>
      </w:r>
    </w:p>
    <w:p w14:paraId="59FFB5D9" w14:textId="48BA0030" w:rsidR="00FC4233" w:rsidRDefault="00FC4233" w:rsidP="003F7FE3">
      <w:pPr>
        <w:widowControl w:val="0"/>
        <w:spacing w:line="480" w:lineRule="atLeast"/>
        <w:jc w:val="both"/>
      </w:pPr>
      <w:r>
        <w:t>-</w:t>
      </w:r>
      <w:r>
        <w:rPr>
          <w:i/>
        </w:rPr>
        <w:t xml:space="preserve"> Trasformazione eterogenea di società di capitali</w:t>
      </w:r>
      <w:r>
        <w:t xml:space="preserve">, in </w:t>
      </w:r>
      <w:r>
        <w:rPr>
          <w:smallCaps/>
        </w:rPr>
        <w:t xml:space="preserve">Aa.Vv., </w:t>
      </w:r>
      <w:r>
        <w:rPr>
          <w:i/>
        </w:rPr>
        <w:t>Trasformazione fusione, scissione</w:t>
      </w:r>
      <w:r>
        <w:t>, opera diretta da A. Serra, coordinata da I. Demuro, Bologna, Zanichelli, 2014, p. 107-158</w:t>
      </w:r>
    </w:p>
    <w:p w14:paraId="16554EA3" w14:textId="5DF674AC" w:rsidR="00FC4233" w:rsidRDefault="00FC4233" w:rsidP="003F7FE3">
      <w:pPr>
        <w:widowControl w:val="0"/>
        <w:spacing w:line="480" w:lineRule="atLeast"/>
        <w:jc w:val="both"/>
        <w:rPr>
          <w:b/>
        </w:rPr>
      </w:pPr>
    </w:p>
    <w:p w14:paraId="7C2B7D1F" w14:textId="77777777" w:rsidR="00FC4233" w:rsidRPr="00FC4233" w:rsidRDefault="00FC4233" w:rsidP="00FC4233">
      <w:pPr>
        <w:pStyle w:val="NormaleWeb"/>
        <w:jc w:val="both"/>
        <w:rPr>
          <w:color w:val="000000" w:themeColor="text1"/>
          <w:u w:val="single"/>
        </w:rPr>
      </w:pPr>
      <w:r w:rsidRPr="00FC4233">
        <w:rPr>
          <w:color w:val="000000" w:themeColor="text1"/>
          <w:u w:val="single"/>
        </w:rPr>
        <w:t>Commentari</w:t>
      </w:r>
    </w:p>
    <w:p w14:paraId="52E6D2A2" w14:textId="3984C828" w:rsidR="00FC4233" w:rsidRPr="00FC4233" w:rsidRDefault="00FC4233" w:rsidP="003F7FE3">
      <w:pPr>
        <w:widowControl w:val="0"/>
        <w:spacing w:line="480" w:lineRule="atLeast"/>
        <w:jc w:val="both"/>
        <w:rPr>
          <w:b/>
          <w:szCs w:val="24"/>
        </w:rPr>
      </w:pPr>
      <w:r>
        <w:t>-</w:t>
      </w:r>
      <w:r>
        <w:rPr>
          <w:i/>
        </w:rPr>
        <w:t xml:space="preserve"> </w:t>
      </w:r>
      <w:r w:rsidRPr="00E94686">
        <w:rPr>
          <w:i/>
        </w:rPr>
        <w:t>Commento</w:t>
      </w:r>
      <w:r>
        <w:t xml:space="preserve"> agli artt. 30-31 (Forme associative), </w:t>
      </w:r>
      <w:r w:rsidRPr="00E94686">
        <w:t xml:space="preserve">in </w:t>
      </w:r>
      <w:r w:rsidRPr="00E94686">
        <w:rPr>
          <w:i/>
        </w:rPr>
        <w:t xml:space="preserve">L’ordinamento degli enti locali, </w:t>
      </w:r>
      <w:r w:rsidRPr="00E94686">
        <w:t>a cura di M. Bertolissi, Bologna, 2002, p. 18</w:t>
      </w:r>
      <w:r>
        <w:t>0-189</w:t>
      </w:r>
    </w:p>
    <w:p w14:paraId="7198C4E6" w14:textId="77777777" w:rsidR="00FC4233" w:rsidRDefault="00FC4233" w:rsidP="00FC4233">
      <w:pPr>
        <w:pStyle w:val="NormaleWeb"/>
        <w:jc w:val="both"/>
        <w:rPr>
          <w:color w:val="000000" w:themeColor="text1"/>
          <w:u w:val="single"/>
        </w:rPr>
      </w:pPr>
    </w:p>
    <w:p w14:paraId="0D9666E7" w14:textId="0EC3336E" w:rsidR="00FC4233" w:rsidRPr="00FC4233" w:rsidRDefault="00FC4233" w:rsidP="00FC4233">
      <w:pPr>
        <w:pStyle w:val="NormaleWeb"/>
        <w:jc w:val="both"/>
        <w:rPr>
          <w:color w:val="000000" w:themeColor="text1"/>
          <w:u w:val="single"/>
        </w:rPr>
      </w:pPr>
      <w:r w:rsidRPr="00FC4233">
        <w:rPr>
          <w:color w:val="000000" w:themeColor="text1"/>
          <w:u w:val="single"/>
        </w:rPr>
        <w:t>Note a sentenza e altre pubblicazioni</w:t>
      </w:r>
    </w:p>
    <w:p w14:paraId="7F1135D6" w14:textId="70920B3D" w:rsidR="002764D6" w:rsidRDefault="002764D6" w:rsidP="00FC4233">
      <w:pPr>
        <w:widowControl w:val="0"/>
        <w:tabs>
          <w:tab w:val="num" w:pos="644"/>
        </w:tabs>
        <w:spacing w:line="480" w:lineRule="atLeast"/>
        <w:jc w:val="both"/>
      </w:pPr>
      <w:r>
        <w:t xml:space="preserve">- </w:t>
      </w:r>
      <w:r>
        <w:rPr>
          <w:i/>
          <w:iCs/>
          <w:szCs w:val="24"/>
        </w:rPr>
        <w:t>Le eccezioni per le opere fuori commercio</w:t>
      </w:r>
      <w:r>
        <w:rPr>
          <w:szCs w:val="24"/>
        </w:rPr>
        <w:t xml:space="preserve">, in </w:t>
      </w:r>
      <w:r>
        <w:rPr>
          <w:i/>
          <w:iCs/>
          <w:szCs w:val="24"/>
        </w:rPr>
        <w:t>AIDA</w:t>
      </w:r>
      <w:r>
        <w:rPr>
          <w:szCs w:val="24"/>
        </w:rPr>
        <w:t xml:space="preserve">, </w:t>
      </w:r>
      <w:r w:rsidRPr="00A93F7D">
        <w:rPr>
          <w:szCs w:val="24"/>
        </w:rPr>
        <w:t xml:space="preserve">2019 </w:t>
      </w:r>
    </w:p>
    <w:p w14:paraId="746AE106" w14:textId="28E84938" w:rsidR="002764D6" w:rsidRDefault="002764D6" w:rsidP="00FC4233">
      <w:pPr>
        <w:widowControl w:val="0"/>
        <w:tabs>
          <w:tab w:val="num" w:pos="644"/>
        </w:tabs>
        <w:spacing w:line="480" w:lineRule="atLeast"/>
        <w:jc w:val="both"/>
      </w:pPr>
      <w:r>
        <w:t xml:space="preserve">- </w:t>
      </w:r>
      <w:r>
        <w:rPr>
          <w:i/>
          <w:color w:val="000000" w:themeColor="text1"/>
        </w:rPr>
        <w:t>Libri “indisponibili” e violazione dell’esclusiva</w:t>
      </w:r>
      <w:r>
        <w:rPr>
          <w:color w:val="000000" w:themeColor="text1"/>
        </w:rPr>
        <w:t xml:space="preserve">, in </w:t>
      </w:r>
      <w:r>
        <w:rPr>
          <w:i/>
          <w:color w:val="000000" w:themeColor="text1"/>
        </w:rPr>
        <w:t>AIDA</w:t>
      </w:r>
      <w:r>
        <w:rPr>
          <w:color w:val="000000" w:themeColor="text1"/>
        </w:rPr>
        <w:t>, 2017, pp. 754-769</w:t>
      </w:r>
    </w:p>
    <w:p w14:paraId="73552451" w14:textId="63349CA9" w:rsidR="00FC4233" w:rsidRDefault="00FC4233" w:rsidP="00FC4233">
      <w:pPr>
        <w:widowControl w:val="0"/>
        <w:tabs>
          <w:tab w:val="num" w:pos="644"/>
        </w:tabs>
        <w:spacing w:line="480" w:lineRule="atLeast"/>
        <w:jc w:val="both"/>
      </w:pPr>
      <w:r>
        <w:t xml:space="preserve">- </w:t>
      </w:r>
      <w:r w:rsidRPr="00A00CD5">
        <w:rPr>
          <w:i/>
        </w:rPr>
        <w:t>Il pentimento dell’autore come diritto fondamentale</w:t>
      </w:r>
      <w:r w:rsidRPr="00A00CD5">
        <w:t xml:space="preserve">, in </w:t>
      </w:r>
      <w:r w:rsidRPr="00A00CD5">
        <w:rPr>
          <w:i/>
        </w:rPr>
        <w:t>AIDA</w:t>
      </w:r>
      <w:r w:rsidRPr="00A00CD5">
        <w:t>, 201</w:t>
      </w:r>
      <w:r>
        <w:t>6</w:t>
      </w:r>
      <w:r w:rsidRPr="00A00CD5">
        <w:t>,</w:t>
      </w:r>
      <w:r>
        <w:t xml:space="preserve"> pp. 569-578</w:t>
      </w:r>
    </w:p>
    <w:p w14:paraId="1E0F7954" w14:textId="06FB576A" w:rsidR="00FC4233" w:rsidRDefault="00FC4233" w:rsidP="00FC4233">
      <w:pPr>
        <w:widowControl w:val="0"/>
        <w:tabs>
          <w:tab w:val="num" w:pos="644"/>
        </w:tabs>
        <w:spacing w:line="480" w:lineRule="atLeast"/>
        <w:jc w:val="both"/>
      </w:pPr>
      <w:r>
        <w:t xml:space="preserve">- </w:t>
      </w:r>
      <w:r>
        <w:rPr>
          <w:i/>
        </w:rPr>
        <w:t>Prime considerazioni sul nuovo regolamento di determinazione dei parametri forensi</w:t>
      </w:r>
      <w:r>
        <w:t xml:space="preserve">, in </w:t>
      </w:r>
      <w:r>
        <w:rPr>
          <w:i/>
        </w:rPr>
        <w:t>Dialoghi del diritto dell’avvocatura della giurisdizione</w:t>
      </w:r>
      <w:r>
        <w:t xml:space="preserve">, 2014, pp. </w:t>
      </w:r>
      <w:r w:rsidRPr="002A4C35">
        <w:t>11-</w:t>
      </w:r>
      <w:r>
        <w:t>18</w:t>
      </w:r>
    </w:p>
    <w:p w14:paraId="34E8272D" w14:textId="1415A960" w:rsidR="00FC4233" w:rsidRDefault="00FC4233" w:rsidP="00FC4233">
      <w:pPr>
        <w:widowControl w:val="0"/>
        <w:tabs>
          <w:tab w:val="num" w:pos="644"/>
        </w:tabs>
        <w:spacing w:line="480" w:lineRule="atLeast"/>
        <w:jc w:val="both"/>
        <w:rPr>
          <w:i/>
        </w:rPr>
      </w:pPr>
      <w:r>
        <w:t xml:space="preserve">- </w:t>
      </w:r>
      <w:r>
        <w:rPr>
          <w:i/>
        </w:rPr>
        <w:t>Società di capitali e diritti dell’uomo</w:t>
      </w:r>
      <w:r>
        <w:t xml:space="preserve">, </w:t>
      </w:r>
      <w:r>
        <w:rPr>
          <w:i/>
        </w:rPr>
        <w:t>Paper</w:t>
      </w:r>
      <w:r>
        <w:t xml:space="preserve"> presentato al Convegno di «Orizzonti del diritto commerciale» del 29-30 gennaio 2010, Università di Roma 3, in </w:t>
      </w:r>
      <w:r w:rsidRPr="00FC4233">
        <w:rPr>
          <w:i/>
        </w:rPr>
        <w:t>www.orizzontideldirittocommerciale.it</w:t>
      </w:r>
    </w:p>
    <w:p w14:paraId="4D3A3566" w14:textId="0906CCFB" w:rsidR="00FC4233" w:rsidRDefault="00FC4233" w:rsidP="00FC4233">
      <w:pPr>
        <w:widowControl w:val="0"/>
        <w:tabs>
          <w:tab w:val="num" w:pos="644"/>
        </w:tabs>
        <w:spacing w:line="480" w:lineRule="atLeast"/>
        <w:jc w:val="both"/>
      </w:pPr>
      <w:r>
        <w:t>-</w:t>
      </w:r>
      <w:r>
        <w:rPr>
          <w:i/>
        </w:rPr>
        <w:t xml:space="preserve"> Osservazioni sulla legge come fonte dell’obbligazione</w:t>
      </w:r>
      <w:r>
        <w:t xml:space="preserve">, in </w:t>
      </w:r>
      <w:r>
        <w:rPr>
          <w:i/>
        </w:rPr>
        <w:t>Il diritto della regione</w:t>
      </w:r>
      <w:r>
        <w:t>, 1997, pp. 981-983</w:t>
      </w:r>
    </w:p>
    <w:p w14:paraId="0510B498" w14:textId="33D47CBB" w:rsidR="003F7FE3" w:rsidRDefault="00FC4233" w:rsidP="00FC4233">
      <w:pPr>
        <w:widowControl w:val="0"/>
        <w:tabs>
          <w:tab w:val="num" w:pos="644"/>
        </w:tabs>
        <w:spacing w:line="480" w:lineRule="atLeast"/>
        <w:jc w:val="both"/>
      </w:pPr>
      <w:r>
        <w:t xml:space="preserve">- </w:t>
      </w:r>
      <w:r w:rsidR="003F7FE3" w:rsidRPr="00FC4233">
        <w:rPr>
          <w:i/>
        </w:rPr>
        <w:t>Nota</w:t>
      </w:r>
      <w:r w:rsidR="003F7FE3">
        <w:t xml:space="preserve"> a Cass. 6 maggio 1987, n. 4187, in </w:t>
      </w:r>
      <w:r w:rsidR="003F7FE3" w:rsidRPr="00FC4233">
        <w:rPr>
          <w:i/>
        </w:rPr>
        <w:t>Nuova giur. civ. comm.</w:t>
      </w:r>
      <w:r w:rsidR="003F7FE3">
        <w:t>, 1988, I, pp. 359-364;</w:t>
      </w:r>
    </w:p>
    <w:p w14:paraId="1D3476FD" w14:textId="77777777" w:rsidR="00FC4233" w:rsidRPr="00A16751" w:rsidRDefault="00FC4233" w:rsidP="00FC4233">
      <w:pPr>
        <w:widowControl w:val="0"/>
        <w:spacing w:line="480" w:lineRule="atLeast"/>
        <w:jc w:val="both"/>
        <w:rPr>
          <w:b/>
        </w:rPr>
      </w:pPr>
      <w:r>
        <w:rPr>
          <w:b/>
        </w:rPr>
        <w:t xml:space="preserve">- </w:t>
      </w:r>
      <w:r w:rsidRPr="00823AD7">
        <w:rPr>
          <w:i/>
        </w:rPr>
        <w:t>Osservazioni</w:t>
      </w:r>
      <w:r>
        <w:t xml:space="preserve"> a Cass. 16 marzo 1981, n. 1468, in </w:t>
      </w:r>
      <w:r>
        <w:rPr>
          <w:i/>
        </w:rPr>
        <w:t>Foro it.</w:t>
      </w:r>
      <w:r>
        <w:t>, 1982, I, c. 1387</w:t>
      </w:r>
    </w:p>
    <w:p w14:paraId="4C2F2E1D" w14:textId="2BF550F7" w:rsidR="00EA09E3" w:rsidRDefault="00EA09E3" w:rsidP="00947E6D">
      <w:pPr>
        <w:widowControl w:val="0"/>
        <w:tabs>
          <w:tab w:val="num" w:pos="644"/>
        </w:tabs>
        <w:spacing w:line="480" w:lineRule="atLeast"/>
        <w:jc w:val="both"/>
      </w:pPr>
    </w:p>
    <w:sectPr w:rsidR="00EA09E3" w:rsidSect="001B1751">
      <w:footerReference w:type="even" r:id="rId7"/>
      <w:footerReference w:type="default" r:id="rId8"/>
      <w:pgSz w:w="12240" w:h="15840"/>
      <w:pgMar w:top="1112" w:right="1571" w:bottom="982" w:left="1701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C7BCF" w14:textId="77777777" w:rsidR="00B10072" w:rsidRDefault="00B10072">
      <w:r>
        <w:separator/>
      </w:r>
    </w:p>
  </w:endnote>
  <w:endnote w:type="continuationSeparator" w:id="0">
    <w:p w14:paraId="3FE1AF53" w14:textId="77777777" w:rsidR="00B10072" w:rsidRDefault="00B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F5F2" w14:textId="77777777" w:rsidR="0092659E" w:rsidRDefault="00E2585D">
    <w:pPr>
      <w:pStyle w:val="Pidipagina"/>
      <w:framePr w:w="576" w:wrap="around" w:vAnchor="page" w:hAnchor="page" w:x="5575" w:y="15104"/>
      <w:jc w:val="right"/>
      <w:rPr>
        <w:rStyle w:val="Numeropagina"/>
      </w:rPr>
    </w:pPr>
    <w:r>
      <w:rPr>
        <w:rStyle w:val="Numeropagina"/>
      </w:rPr>
      <w:fldChar w:fldCharType="begin"/>
    </w:r>
    <w:r w:rsidR="0092659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659E">
      <w:rPr>
        <w:rStyle w:val="Numeropagina"/>
      </w:rPr>
      <w:t>2</w:t>
    </w:r>
    <w:r>
      <w:rPr>
        <w:rStyle w:val="Numeropagina"/>
      </w:rPr>
      <w:fldChar w:fldCharType="end"/>
    </w:r>
  </w:p>
  <w:p w14:paraId="5A920FD7" w14:textId="77777777" w:rsidR="0092659E" w:rsidRDefault="009265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DF2B" w14:textId="77777777" w:rsidR="0092659E" w:rsidRDefault="00E2585D">
    <w:pPr>
      <w:pStyle w:val="Pidipagina"/>
      <w:framePr w:w="576" w:wrap="around" w:vAnchor="page" w:hAnchor="page" w:x="5575" w:y="15104"/>
      <w:jc w:val="right"/>
      <w:rPr>
        <w:rStyle w:val="Numeropagina"/>
      </w:rPr>
    </w:pPr>
    <w:r>
      <w:rPr>
        <w:rStyle w:val="Numeropagina"/>
      </w:rPr>
      <w:fldChar w:fldCharType="begin"/>
    </w:r>
    <w:r w:rsidR="0092659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44A2">
      <w:rPr>
        <w:rStyle w:val="Numeropagina"/>
      </w:rPr>
      <w:t>1</w:t>
    </w:r>
    <w:r>
      <w:rPr>
        <w:rStyle w:val="Numeropagina"/>
      </w:rPr>
      <w:fldChar w:fldCharType="end"/>
    </w:r>
  </w:p>
  <w:p w14:paraId="17CF4506" w14:textId="77777777" w:rsidR="0092659E" w:rsidRDefault="009265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749E0" w14:textId="77777777" w:rsidR="00B10072" w:rsidRDefault="00B10072">
      <w:r>
        <w:separator/>
      </w:r>
    </w:p>
  </w:footnote>
  <w:footnote w:type="continuationSeparator" w:id="0">
    <w:p w14:paraId="0DA11975" w14:textId="77777777" w:rsidR="00B10072" w:rsidRDefault="00B1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6E09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A34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025460"/>
    <w:multiLevelType w:val="hybridMultilevel"/>
    <w:tmpl w:val="DA1C21CE"/>
    <w:lvl w:ilvl="0" w:tplc="26362C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82239"/>
    <w:multiLevelType w:val="hybridMultilevel"/>
    <w:tmpl w:val="A0623B66"/>
    <w:lvl w:ilvl="0" w:tplc="DFD20A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6F712A"/>
    <w:multiLevelType w:val="hybridMultilevel"/>
    <w:tmpl w:val="0FEAE3B4"/>
    <w:lvl w:ilvl="0" w:tplc="FA30B026">
      <w:start w:val="2003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D6980"/>
    <w:multiLevelType w:val="hybridMultilevel"/>
    <w:tmpl w:val="3EFCC608"/>
    <w:lvl w:ilvl="0" w:tplc="707A6F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E4FC5"/>
    <w:multiLevelType w:val="hybridMultilevel"/>
    <w:tmpl w:val="3B6AA614"/>
    <w:lvl w:ilvl="0" w:tplc="1CBC9E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74"/>
    <w:rsid w:val="00002BAE"/>
    <w:rsid w:val="0001160F"/>
    <w:rsid w:val="00011946"/>
    <w:rsid w:val="0002578C"/>
    <w:rsid w:val="000335DE"/>
    <w:rsid w:val="0003720C"/>
    <w:rsid w:val="00040DFC"/>
    <w:rsid w:val="000411CC"/>
    <w:rsid w:val="00050CDE"/>
    <w:rsid w:val="00056FAB"/>
    <w:rsid w:val="00071B58"/>
    <w:rsid w:val="00075529"/>
    <w:rsid w:val="0007700D"/>
    <w:rsid w:val="00084E01"/>
    <w:rsid w:val="000915F4"/>
    <w:rsid w:val="0009221A"/>
    <w:rsid w:val="000969F8"/>
    <w:rsid w:val="000A01B6"/>
    <w:rsid w:val="000A7E17"/>
    <w:rsid w:val="000B2EA6"/>
    <w:rsid w:val="000C3911"/>
    <w:rsid w:val="000C5E4B"/>
    <w:rsid w:val="000C799C"/>
    <w:rsid w:val="000D1DA9"/>
    <w:rsid w:val="000D79FD"/>
    <w:rsid w:val="000F40B2"/>
    <w:rsid w:val="001003B6"/>
    <w:rsid w:val="00104259"/>
    <w:rsid w:val="00111C2F"/>
    <w:rsid w:val="00124407"/>
    <w:rsid w:val="00124C20"/>
    <w:rsid w:val="0013622A"/>
    <w:rsid w:val="00136985"/>
    <w:rsid w:val="00146CFA"/>
    <w:rsid w:val="00156FF5"/>
    <w:rsid w:val="00163C34"/>
    <w:rsid w:val="0017796B"/>
    <w:rsid w:val="00182BB8"/>
    <w:rsid w:val="001923A8"/>
    <w:rsid w:val="00192625"/>
    <w:rsid w:val="00196D09"/>
    <w:rsid w:val="001A3A35"/>
    <w:rsid w:val="001B1751"/>
    <w:rsid w:val="001C7F29"/>
    <w:rsid w:val="001D5134"/>
    <w:rsid w:val="001D6C34"/>
    <w:rsid w:val="001D7346"/>
    <w:rsid w:val="001E2F79"/>
    <w:rsid w:val="001E7431"/>
    <w:rsid w:val="001F0FE2"/>
    <w:rsid w:val="00201749"/>
    <w:rsid w:val="00214960"/>
    <w:rsid w:val="00217E0C"/>
    <w:rsid w:val="002211BF"/>
    <w:rsid w:val="002279BD"/>
    <w:rsid w:val="002334C3"/>
    <w:rsid w:val="0023772D"/>
    <w:rsid w:val="002457F8"/>
    <w:rsid w:val="00245B9E"/>
    <w:rsid w:val="002517DB"/>
    <w:rsid w:val="00260E25"/>
    <w:rsid w:val="00274CBD"/>
    <w:rsid w:val="002764D6"/>
    <w:rsid w:val="0029043E"/>
    <w:rsid w:val="00290FF4"/>
    <w:rsid w:val="002A4C35"/>
    <w:rsid w:val="002A5D5E"/>
    <w:rsid w:val="002B2745"/>
    <w:rsid w:val="002B4034"/>
    <w:rsid w:val="002B6DA5"/>
    <w:rsid w:val="002B7173"/>
    <w:rsid w:val="002C05CC"/>
    <w:rsid w:val="002E0F30"/>
    <w:rsid w:val="002E0F55"/>
    <w:rsid w:val="002F0DCC"/>
    <w:rsid w:val="002F3973"/>
    <w:rsid w:val="00306FF4"/>
    <w:rsid w:val="00313DA4"/>
    <w:rsid w:val="00314284"/>
    <w:rsid w:val="00325382"/>
    <w:rsid w:val="00332234"/>
    <w:rsid w:val="00341BE5"/>
    <w:rsid w:val="003531BC"/>
    <w:rsid w:val="00382904"/>
    <w:rsid w:val="003866BD"/>
    <w:rsid w:val="003923D3"/>
    <w:rsid w:val="003A4C22"/>
    <w:rsid w:val="003A5233"/>
    <w:rsid w:val="003B0F9B"/>
    <w:rsid w:val="003E17E2"/>
    <w:rsid w:val="003E6C08"/>
    <w:rsid w:val="003F7FE3"/>
    <w:rsid w:val="00416328"/>
    <w:rsid w:val="00421AA2"/>
    <w:rsid w:val="00422EDD"/>
    <w:rsid w:val="00422FCE"/>
    <w:rsid w:val="00431CF7"/>
    <w:rsid w:val="00437F21"/>
    <w:rsid w:val="00440BBB"/>
    <w:rsid w:val="00451B60"/>
    <w:rsid w:val="004824F0"/>
    <w:rsid w:val="0048312C"/>
    <w:rsid w:val="0048438F"/>
    <w:rsid w:val="0049125B"/>
    <w:rsid w:val="00492185"/>
    <w:rsid w:val="004A0C75"/>
    <w:rsid w:val="004A0CD1"/>
    <w:rsid w:val="004A39A4"/>
    <w:rsid w:val="004C2B1B"/>
    <w:rsid w:val="004C50ED"/>
    <w:rsid w:val="004D410C"/>
    <w:rsid w:val="004E7317"/>
    <w:rsid w:val="004F0DF0"/>
    <w:rsid w:val="004F0EF9"/>
    <w:rsid w:val="004F4554"/>
    <w:rsid w:val="004F50C8"/>
    <w:rsid w:val="005008EC"/>
    <w:rsid w:val="00501664"/>
    <w:rsid w:val="005054DA"/>
    <w:rsid w:val="005248A3"/>
    <w:rsid w:val="005544FF"/>
    <w:rsid w:val="005653B7"/>
    <w:rsid w:val="005704EF"/>
    <w:rsid w:val="005C289D"/>
    <w:rsid w:val="005C3715"/>
    <w:rsid w:val="005D1EBB"/>
    <w:rsid w:val="005D38DE"/>
    <w:rsid w:val="005D4928"/>
    <w:rsid w:val="005F4B41"/>
    <w:rsid w:val="006014FF"/>
    <w:rsid w:val="006050B5"/>
    <w:rsid w:val="00611823"/>
    <w:rsid w:val="00611FBB"/>
    <w:rsid w:val="006176CE"/>
    <w:rsid w:val="00620C33"/>
    <w:rsid w:val="00624530"/>
    <w:rsid w:val="00634B7C"/>
    <w:rsid w:val="006478A0"/>
    <w:rsid w:val="0065268B"/>
    <w:rsid w:val="00655D3A"/>
    <w:rsid w:val="00656E8A"/>
    <w:rsid w:val="006636E5"/>
    <w:rsid w:val="00663D86"/>
    <w:rsid w:val="00664168"/>
    <w:rsid w:val="00664FED"/>
    <w:rsid w:val="00665F7D"/>
    <w:rsid w:val="00671898"/>
    <w:rsid w:val="00675DA2"/>
    <w:rsid w:val="006941DE"/>
    <w:rsid w:val="0069689F"/>
    <w:rsid w:val="006A5CAF"/>
    <w:rsid w:val="006B59E9"/>
    <w:rsid w:val="006C2AB4"/>
    <w:rsid w:val="006C2CA7"/>
    <w:rsid w:val="006C4A6C"/>
    <w:rsid w:val="006D2551"/>
    <w:rsid w:val="006E1F01"/>
    <w:rsid w:val="0071004E"/>
    <w:rsid w:val="00711880"/>
    <w:rsid w:val="00711D8B"/>
    <w:rsid w:val="00721BCA"/>
    <w:rsid w:val="00725BEE"/>
    <w:rsid w:val="00725DDF"/>
    <w:rsid w:val="00730244"/>
    <w:rsid w:val="00734493"/>
    <w:rsid w:val="00743E61"/>
    <w:rsid w:val="00751A23"/>
    <w:rsid w:val="00753E94"/>
    <w:rsid w:val="007550C2"/>
    <w:rsid w:val="00771DB3"/>
    <w:rsid w:val="00774895"/>
    <w:rsid w:val="0077491D"/>
    <w:rsid w:val="007825E4"/>
    <w:rsid w:val="007841D2"/>
    <w:rsid w:val="00784E99"/>
    <w:rsid w:val="0078692C"/>
    <w:rsid w:val="00790D40"/>
    <w:rsid w:val="00794345"/>
    <w:rsid w:val="007A7F79"/>
    <w:rsid w:val="007B3EB5"/>
    <w:rsid w:val="007D43EA"/>
    <w:rsid w:val="007D5CAF"/>
    <w:rsid w:val="007E2D51"/>
    <w:rsid w:val="007E5F76"/>
    <w:rsid w:val="007E6D90"/>
    <w:rsid w:val="007F0A81"/>
    <w:rsid w:val="00800383"/>
    <w:rsid w:val="00804721"/>
    <w:rsid w:val="00810775"/>
    <w:rsid w:val="00817FB8"/>
    <w:rsid w:val="0082025F"/>
    <w:rsid w:val="008309BC"/>
    <w:rsid w:val="00834F5A"/>
    <w:rsid w:val="00836167"/>
    <w:rsid w:val="00847169"/>
    <w:rsid w:val="00871B2B"/>
    <w:rsid w:val="00872F85"/>
    <w:rsid w:val="00874BCA"/>
    <w:rsid w:val="008865DF"/>
    <w:rsid w:val="0089422F"/>
    <w:rsid w:val="008A471E"/>
    <w:rsid w:val="008B67BA"/>
    <w:rsid w:val="008D0FB0"/>
    <w:rsid w:val="008D6E4C"/>
    <w:rsid w:val="008E4B01"/>
    <w:rsid w:val="008E7274"/>
    <w:rsid w:val="008F3782"/>
    <w:rsid w:val="0090569B"/>
    <w:rsid w:val="00912710"/>
    <w:rsid w:val="00924587"/>
    <w:rsid w:val="00925280"/>
    <w:rsid w:val="0092659E"/>
    <w:rsid w:val="009278FC"/>
    <w:rsid w:val="00932B4C"/>
    <w:rsid w:val="00943CA3"/>
    <w:rsid w:val="00947E6D"/>
    <w:rsid w:val="00953FDC"/>
    <w:rsid w:val="00964625"/>
    <w:rsid w:val="0096547B"/>
    <w:rsid w:val="009761B9"/>
    <w:rsid w:val="009A0721"/>
    <w:rsid w:val="009A0748"/>
    <w:rsid w:val="009A1F67"/>
    <w:rsid w:val="009A4FC7"/>
    <w:rsid w:val="009B19A4"/>
    <w:rsid w:val="009B2910"/>
    <w:rsid w:val="009B70B2"/>
    <w:rsid w:val="009D4B0D"/>
    <w:rsid w:val="009D75C5"/>
    <w:rsid w:val="009E1CB5"/>
    <w:rsid w:val="009E51F9"/>
    <w:rsid w:val="009F6DD0"/>
    <w:rsid w:val="00A00CD5"/>
    <w:rsid w:val="00A06381"/>
    <w:rsid w:val="00A211D0"/>
    <w:rsid w:val="00A30B89"/>
    <w:rsid w:val="00A42859"/>
    <w:rsid w:val="00A51A85"/>
    <w:rsid w:val="00A63CDD"/>
    <w:rsid w:val="00A67EF6"/>
    <w:rsid w:val="00A80162"/>
    <w:rsid w:val="00A9129E"/>
    <w:rsid w:val="00A93F7D"/>
    <w:rsid w:val="00AA2E4F"/>
    <w:rsid w:val="00AB14CD"/>
    <w:rsid w:val="00AB3CD1"/>
    <w:rsid w:val="00AB485F"/>
    <w:rsid w:val="00AB77A8"/>
    <w:rsid w:val="00AB7C0F"/>
    <w:rsid w:val="00AC74D7"/>
    <w:rsid w:val="00AE1C0D"/>
    <w:rsid w:val="00AE3C13"/>
    <w:rsid w:val="00AE6267"/>
    <w:rsid w:val="00AF5792"/>
    <w:rsid w:val="00AF75BB"/>
    <w:rsid w:val="00B049F5"/>
    <w:rsid w:val="00B06A7F"/>
    <w:rsid w:val="00B10072"/>
    <w:rsid w:val="00B203CB"/>
    <w:rsid w:val="00B24046"/>
    <w:rsid w:val="00B31DAA"/>
    <w:rsid w:val="00B32C53"/>
    <w:rsid w:val="00B44FCF"/>
    <w:rsid w:val="00B477ED"/>
    <w:rsid w:val="00B538EF"/>
    <w:rsid w:val="00B561CC"/>
    <w:rsid w:val="00B64921"/>
    <w:rsid w:val="00B80BED"/>
    <w:rsid w:val="00B86772"/>
    <w:rsid w:val="00B9257C"/>
    <w:rsid w:val="00B932DC"/>
    <w:rsid w:val="00B9618C"/>
    <w:rsid w:val="00B96D75"/>
    <w:rsid w:val="00B96FA5"/>
    <w:rsid w:val="00BA436A"/>
    <w:rsid w:val="00BB779C"/>
    <w:rsid w:val="00BC45DB"/>
    <w:rsid w:val="00BC47D2"/>
    <w:rsid w:val="00BD687F"/>
    <w:rsid w:val="00BE4379"/>
    <w:rsid w:val="00BE67E3"/>
    <w:rsid w:val="00BF22B4"/>
    <w:rsid w:val="00BF26EC"/>
    <w:rsid w:val="00BF36A8"/>
    <w:rsid w:val="00C0121C"/>
    <w:rsid w:val="00C01AB4"/>
    <w:rsid w:val="00C14CEB"/>
    <w:rsid w:val="00C156BD"/>
    <w:rsid w:val="00C15C3C"/>
    <w:rsid w:val="00C23C13"/>
    <w:rsid w:val="00C30752"/>
    <w:rsid w:val="00C337B9"/>
    <w:rsid w:val="00C353F1"/>
    <w:rsid w:val="00C379B4"/>
    <w:rsid w:val="00C413C6"/>
    <w:rsid w:val="00C45A07"/>
    <w:rsid w:val="00C51F46"/>
    <w:rsid w:val="00C56046"/>
    <w:rsid w:val="00C64042"/>
    <w:rsid w:val="00C74992"/>
    <w:rsid w:val="00C772C0"/>
    <w:rsid w:val="00C8061A"/>
    <w:rsid w:val="00C80F6D"/>
    <w:rsid w:val="00C9310B"/>
    <w:rsid w:val="00CA169D"/>
    <w:rsid w:val="00CA1E8B"/>
    <w:rsid w:val="00CA2028"/>
    <w:rsid w:val="00CA33CF"/>
    <w:rsid w:val="00CA379A"/>
    <w:rsid w:val="00CA7C13"/>
    <w:rsid w:val="00CB57C7"/>
    <w:rsid w:val="00CB5F70"/>
    <w:rsid w:val="00CC3B60"/>
    <w:rsid w:val="00CC7E1A"/>
    <w:rsid w:val="00CD6EC7"/>
    <w:rsid w:val="00CE7228"/>
    <w:rsid w:val="00CF22B6"/>
    <w:rsid w:val="00D00E69"/>
    <w:rsid w:val="00D01DAD"/>
    <w:rsid w:val="00D21DC8"/>
    <w:rsid w:val="00D250F1"/>
    <w:rsid w:val="00D278AC"/>
    <w:rsid w:val="00D356DD"/>
    <w:rsid w:val="00D45317"/>
    <w:rsid w:val="00D6709E"/>
    <w:rsid w:val="00D72229"/>
    <w:rsid w:val="00D81978"/>
    <w:rsid w:val="00D85FDF"/>
    <w:rsid w:val="00D862EF"/>
    <w:rsid w:val="00D879CA"/>
    <w:rsid w:val="00D97512"/>
    <w:rsid w:val="00DA0A89"/>
    <w:rsid w:val="00DA1B82"/>
    <w:rsid w:val="00DA2F77"/>
    <w:rsid w:val="00DA6E45"/>
    <w:rsid w:val="00DB3F32"/>
    <w:rsid w:val="00DB48DD"/>
    <w:rsid w:val="00DB48E2"/>
    <w:rsid w:val="00DC264C"/>
    <w:rsid w:val="00DC5E0B"/>
    <w:rsid w:val="00DC6365"/>
    <w:rsid w:val="00DC7F07"/>
    <w:rsid w:val="00DD11F7"/>
    <w:rsid w:val="00DD44A2"/>
    <w:rsid w:val="00DD5E18"/>
    <w:rsid w:val="00DE0B8C"/>
    <w:rsid w:val="00DE4E39"/>
    <w:rsid w:val="00DE5731"/>
    <w:rsid w:val="00DF0140"/>
    <w:rsid w:val="00DF2258"/>
    <w:rsid w:val="00E047AD"/>
    <w:rsid w:val="00E22658"/>
    <w:rsid w:val="00E2585D"/>
    <w:rsid w:val="00E336AE"/>
    <w:rsid w:val="00E33D82"/>
    <w:rsid w:val="00E42E6E"/>
    <w:rsid w:val="00E50589"/>
    <w:rsid w:val="00E50D23"/>
    <w:rsid w:val="00E50E2C"/>
    <w:rsid w:val="00E515FC"/>
    <w:rsid w:val="00E6095B"/>
    <w:rsid w:val="00E716A8"/>
    <w:rsid w:val="00E72E10"/>
    <w:rsid w:val="00E77EB6"/>
    <w:rsid w:val="00E80028"/>
    <w:rsid w:val="00E8370D"/>
    <w:rsid w:val="00E83BE1"/>
    <w:rsid w:val="00E86E6E"/>
    <w:rsid w:val="00E94D34"/>
    <w:rsid w:val="00E95022"/>
    <w:rsid w:val="00E9683C"/>
    <w:rsid w:val="00E9739F"/>
    <w:rsid w:val="00EA09E3"/>
    <w:rsid w:val="00EB2878"/>
    <w:rsid w:val="00EB2EBF"/>
    <w:rsid w:val="00ED3C96"/>
    <w:rsid w:val="00ED442A"/>
    <w:rsid w:val="00ED4856"/>
    <w:rsid w:val="00EE3738"/>
    <w:rsid w:val="00F06AA5"/>
    <w:rsid w:val="00F2487D"/>
    <w:rsid w:val="00F43730"/>
    <w:rsid w:val="00F539C6"/>
    <w:rsid w:val="00F617FC"/>
    <w:rsid w:val="00F7121F"/>
    <w:rsid w:val="00F71CCC"/>
    <w:rsid w:val="00F94542"/>
    <w:rsid w:val="00FA17EC"/>
    <w:rsid w:val="00FA431A"/>
    <w:rsid w:val="00FA559A"/>
    <w:rsid w:val="00FB5D28"/>
    <w:rsid w:val="00FC3ED4"/>
    <w:rsid w:val="00FC4233"/>
    <w:rsid w:val="00FD026A"/>
    <w:rsid w:val="00FD0C53"/>
    <w:rsid w:val="00FE0C68"/>
    <w:rsid w:val="00FE4805"/>
    <w:rsid w:val="00FE7314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AD68A"/>
  <w15:docId w15:val="{C54AA1FD-98AD-49AE-B6BF-3DB2670F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1751"/>
    <w:pPr>
      <w:tabs>
        <w:tab w:val="left" w:pos="1702"/>
        <w:tab w:val="left" w:pos="567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1B1751"/>
    <w:pPr>
      <w:keepNext/>
      <w:tabs>
        <w:tab w:val="left" w:pos="8789"/>
      </w:tabs>
      <w:spacing w:line="360" w:lineRule="auto"/>
      <w:jc w:val="both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rsid w:val="001B1751"/>
    <w:pPr>
      <w:keepNext/>
      <w:tabs>
        <w:tab w:val="left" w:pos="8789"/>
      </w:tabs>
      <w:spacing w:line="360" w:lineRule="auto"/>
      <w:jc w:val="both"/>
      <w:outlineLvl w:val="1"/>
    </w:pPr>
    <w:rPr>
      <w:i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B1751"/>
  </w:style>
  <w:style w:type="paragraph" w:styleId="Pidipagina">
    <w:name w:val="footer"/>
    <w:basedOn w:val="Normale"/>
    <w:rsid w:val="001B1751"/>
    <w:pPr>
      <w:tabs>
        <w:tab w:val="clear" w:pos="1702"/>
        <w:tab w:val="clear" w:pos="5670"/>
        <w:tab w:val="center" w:pos="4819"/>
        <w:tab w:val="right" w:pos="9071"/>
      </w:tabs>
    </w:pPr>
    <w:rPr>
      <w:rFonts w:ascii="New York" w:hAnsi="New York"/>
      <w:noProof/>
    </w:rPr>
  </w:style>
  <w:style w:type="paragraph" w:styleId="Rientrocorpodeltesto">
    <w:name w:val="Body Text Indent"/>
    <w:basedOn w:val="Normale"/>
    <w:rsid w:val="001B1751"/>
    <w:pPr>
      <w:spacing w:line="360" w:lineRule="auto"/>
      <w:ind w:right="179" w:firstLine="142"/>
      <w:jc w:val="both"/>
    </w:pPr>
  </w:style>
  <w:style w:type="paragraph" w:styleId="Rientrocorpodeltesto2">
    <w:name w:val="Body Text Indent 2"/>
    <w:basedOn w:val="Normale"/>
    <w:rsid w:val="001B1751"/>
    <w:pPr>
      <w:spacing w:line="360" w:lineRule="auto"/>
      <w:ind w:right="179" w:firstLine="142"/>
      <w:jc w:val="both"/>
    </w:pPr>
    <w:rPr>
      <w:i/>
      <w:iCs/>
    </w:rPr>
  </w:style>
  <w:style w:type="paragraph" w:styleId="Corpotesto">
    <w:name w:val="Body Text"/>
    <w:basedOn w:val="Normale"/>
    <w:rsid w:val="001B1751"/>
    <w:pPr>
      <w:tabs>
        <w:tab w:val="clear" w:pos="1702"/>
        <w:tab w:val="clear" w:pos="5670"/>
      </w:tabs>
      <w:overflowPunct/>
      <w:autoSpaceDE/>
      <w:autoSpaceDN/>
      <w:adjustRightInd/>
      <w:spacing w:line="480" w:lineRule="auto"/>
      <w:ind w:right="-82"/>
      <w:jc w:val="both"/>
      <w:textAlignment w:val="auto"/>
    </w:pPr>
  </w:style>
  <w:style w:type="paragraph" w:styleId="Corpodeltesto2">
    <w:name w:val="Body Text 2"/>
    <w:basedOn w:val="Normale"/>
    <w:rsid w:val="001B1751"/>
    <w:pPr>
      <w:tabs>
        <w:tab w:val="left" w:pos="8789"/>
      </w:tabs>
      <w:spacing w:line="360" w:lineRule="auto"/>
      <w:jc w:val="both"/>
      <w:outlineLvl w:val="0"/>
    </w:pPr>
  </w:style>
  <w:style w:type="paragraph" w:styleId="Rientrocorpodeltesto3">
    <w:name w:val="Body Text Indent 3"/>
    <w:basedOn w:val="Normale"/>
    <w:rsid w:val="001B1751"/>
    <w:pPr>
      <w:spacing w:line="360" w:lineRule="auto"/>
      <w:ind w:firstLine="284"/>
      <w:jc w:val="both"/>
    </w:pPr>
  </w:style>
  <w:style w:type="paragraph" w:styleId="Titolo">
    <w:name w:val="Title"/>
    <w:basedOn w:val="Normale"/>
    <w:qFormat/>
    <w:rsid w:val="001B1751"/>
    <w:pPr>
      <w:widowControl w:val="0"/>
      <w:tabs>
        <w:tab w:val="clear" w:pos="1702"/>
        <w:tab w:val="clear" w:pos="5670"/>
      </w:tabs>
      <w:overflowPunct/>
      <w:autoSpaceDE/>
      <w:autoSpaceDN/>
      <w:adjustRightInd/>
      <w:spacing w:line="480" w:lineRule="atLeast"/>
      <w:jc w:val="center"/>
      <w:textAlignment w:val="auto"/>
    </w:pPr>
  </w:style>
  <w:style w:type="paragraph" w:styleId="Testonotaapidipagina">
    <w:name w:val="footnote text"/>
    <w:basedOn w:val="Normale"/>
    <w:semiHidden/>
    <w:rsid w:val="009D4B0D"/>
    <w:rPr>
      <w:sz w:val="20"/>
    </w:rPr>
  </w:style>
  <w:style w:type="character" w:styleId="Rimandonotaapidipagina">
    <w:name w:val="footnote reference"/>
    <w:semiHidden/>
    <w:rsid w:val="009D4B0D"/>
    <w:rPr>
      <w:vertAlign w:val="superscript"/>
    </w:rPr>
  </w:style>
  <w:style w:type="paragraph" w:styleId="Testofumetto">
    <w:name w:val="Balloon Text"/>
    <w:basedOn w:val="Normale"/>
    <w:semiHidden/>
    <w:rsid w:val="00CA169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53E94"/>
    <w:rPr>
      <w:color w:val="0000FF"/>
      <w:u w:val="single"/>
    </w:rPr>
  </w:style>
  <w:style w:type="paragraph" w:styleId="Paragrafoelenco">
    <w:name w:val="List Paragraph"/>
    <w:basedOn w:val="Normale"/>
    <w:uiPriority w:val="72"/>
    <w:rsid w:val="00F7121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92185"/>
    <w:pPr>
      <w:tabs>
        <w:tab w:val="clear" w:pos="1702"/>
        <w:tab w:val="clear" w:pos="567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 VITAE E STUDIORUM</vt:lpstr>
    </vt:vector>
  </TitlesOfParts>
  <Company/>
  <LinksUpToDate>false</LinksUpToDate>
  <CharactersWithSpaces>12071</CharactersWithSpaces>
  <SharedDoc>false</SharedDoc>
  <HLinks>
    <vt:vector size="6" baseType="variant"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http://www.orizzontideldirittocommerciale.it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 E STUDIORUM</dc:title>
  <dc:creator>Fioravanzo Monica</dc:creator>
  <cp:lastModifiedBy>GIUSEPPE CARRARO AVENTI</cp:lastModifiedBy>
  <cp:revision>18</cp:revision>
  <cp:lastPrinted>2019-08-30T17:07:00Z</cp:lastPrinted>
  <dcterms:created xsi:type="dcterms:W3CDTF">2020-04-30T08:47:00Z</dcterms:created>
  <dcterms:modified xsi:type="dcterms:W3CDTF">2020-05-18T07:58:00Z</dcterms:modified>
</cp:coreProperties>
</file>