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00F" w:rsidRDefault="00E3600F" w:rsidP="009332BC"/>
    <w:p w:rsidR="009332BC" w:rsidRDefault="009332BC" w:rsidP="009332BC">
      <w:r>
        <w:t xml:space="preserve">STORIA DELLA STORIOGRAFIA ANTICA (prof. </w:t>
      </w:r>
      <w:proofErr w:type="spellStart"/>
      <w:r>
        <w:t>ssa</w:t>
      </w:r>
      <w:proofErr w:type="spellEnd"/>
      <w:r>
        <w:t xml:space="preserve"> Silvana Cagnazzi)</w:t>
      </w:r>
    </w:p>
    <w:p w:rsidR="009332BC" w:rsidRDefault="009332BC" w:rsidP="009332BC">
      <w:r>
        <w:t>Lezione del 14 maggio 2020</w:t>
      </w:r>
    </w:p>
    <w:p w:rsidR="009332BC" w:rsidRDefault="009332BC" w:rsidP="009332BC"/>
    <w:p w:rsidR="00654ACB" w:rsidRDefault="00942929" w:rsidP="00942929">
      <w:pPr>
        <w:spacing w:after="0" w:line="360" w:lineRule="auto"/>
      </w:pPr>
      <w:r>
        <w:t>La parte alta del cilindro mostra il re Hammurabi in piedi di fronte a</w:t>
      </w:r>
      <w:r w:rsidR="00ED2149">
        <w:t xml:space="preserve"> </w:t>
      </w:r>
      <w:proofErr w:type="spellStart"/>
      <w:r w:rsidR="00ED2149">
        <w:t>Shamash</w:t>
      </w:r>
      <w:proofErr w:type="spellEnd"/>
      <w:r w:rsidR="00ED2149">
        <w:t xml:space="preserve">, </w:t>
      </w:r>
      <w:r>
        <w:t xml:space="preserve">dio </w:t>
      </w:r>
      <w:r w:rsidR="00D23FC5">
        <w:t xml:space="preserve">della luce, </w:t>
      </w:r>
      <w:r>
        <w:t xml:space="preserve">che è seduto. </w:t>
      </w:r>
    </w:p>
    <w:p w:rsidR="008F490B" w:rsidRDefault="008F490B" w:rsidP="00942929">
      <w:pPr>
        <w:spacing w:after="0" w:line="360" w:lineRule="auto"/>
      </w:pPr>
    </w:p>
    <w:p w:rsidR="008F490B" w:rsidRDefault="008F490B" w:rsidP="00942929">
      <w:pPr>
        <w:spacing w:after="0" w:line="360" w:lineRule="auto"/>
      </w:pPr>
    </w:p>
    <w:p w:rsidR="00654ACB" w:rsidRDefault="00654ACB" w:rsidP="00942929">
      <w:pPr>
        <w:spacing w:after="0" w:line="360" w:lineRule="auto"/>
      </w:pPr>
      <w:r w:rsidRPr="00654ACB">
        <w:rPr>
          <w:noProof/>
        </w:rPr>
        <w:drawing>
          <wp:inline distT="0" distB="0" distL="0" distR="0">
            <wp:extent cx="6120130" cy="474408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130" cy="4744085"/>
                    </a:xfrm>
                    <a:prstGeom prst="rect">
                      <a:avLst/>
                    </a:prstGeom>
                    <a:noFill/>
                    <a:ln>
                      <a:noFill/>
                    </a:ln>
                  </pic:spPr>
                </pic:pic>
              </a:graphicData>
            </a:graphic>
          </wp:inline>
        </w:drawing>
      </w:r>
    </w:p>
    <w:p w:rsidR="00654ACB" w:rsidRDefault="00654ACB" w:rsidP="00942929">
      <w:pPr>
        <w:spacing w:after="0" w:line="360" w:lineRule="auto"/>
      </w:pPr>
    </w:p>
    <w:p w:rsidR="00B274C3" w:rsidRDefault="00654ACB" w:rsidP="00942929">
      <w:pPr>
        <w:spacing w:after="0" w:line="360" w:lineRule="auto"/>
      </w:pPr>
      <w:r>
        <w:t xml:space="preserve">Al di sotto si trovano le leggi. </w:t>
      </w:r>
    </w:p>
    <w:p w:rsidR="008F490B" w:rsidRDefault="008F490B" w:rsidP="00942929">
      <w:pPr>
        <w:spacing w:after="0" w:line="360" w:lineRule="auto"/>
      </w:pPr>
    </w:p>
    <w:p w:rsidR="008F490B" w:rsidRDefault="008F490B" w:rsidP="00942929">
      <w:pPr>
        <w:spacing w:after="0" w:line="360" w:lineRule="auto"/>
      </w:pPr>
    </w:p>
    <w:p w:rsidR="00B274C3" w:rsidRDefault="008F490B" w:rsidP="00942929">
      <w:pPr>
        <w:spacing w:after="0" w:line="360" w:lineRule="auto"/>
      </w:pPr>
      <w:r w:rsidRPr="008F490B">
        <w:rPr>
          <w:noProof/>
        </w:rPr>
        <w:lastRenderedPageBreak/>
        <w:drawing>
          <wp:inline distT="0" distB="0" distL="0" distR="0" wp14:anchorId="6488BAB6" wp14:editId="6C6FC523">
            <wp:extent cx="6116840" cy="9846082"/>
            <wp:effectExtent l="0" t="0" r="0" b="3175"/>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7936" cy="9960523"/>
                    </a:xfrm>
                    <a:prstGeom prst="rect">
                      <a:avLst/>
                    </a:prstGeom>
                    <a:noFill/>
                    <a:ln>
                      <a:noFill/>
                    </a:ln>
                  </pic:spPr>
                </pic:pic>
              </a:graphicData>
            </a:graphic>
          </wp:inline>
        </w:drawing>
      </w:r>
    </w:p>
    <w:p w:rsidR="00D23FC5" w:rsidRDefault="00D23FC5" w:rsidP="00942929">
      <w:pPr>
        <w:spacing w:after="0" w:line="360" w:lineRule="auto"/>
      </w:pPr>
    </w:p>
    <w:p w:rsidR="00942929" w:rsidRDefault="00942929" w:rsidP="00942929">
      <w:pPr>
        <w:spacing w:after="0" w:line="360" w:lineRule="auto"/>
      </w:pPr>
      <w:r>
        <w:t>Molte</w:t>
      </w:r>
      <w:r w:rsidR="00743B1E">
        <w:t xml:space="preserve"> leggi</w:t>
      </w:r>
      <w:r w:rsidR="00654ACB">
        <w:t xml:space="preserve"> </w:t>
      </w:r>
      <w:r>
        <w:t xml:space="preserve">sono relative al diritto penale e prevedono di infliggere al colpevole lo stesso danno da lui arrecato alla vittima (ad esempio se un uomo appartenente ad una classe elevata, cava un occhio ad un uomo di pari condizione, gli si caverà un occhio: è la cosiddetta legge del taglione, dal latino </w:t>
      </w:r>
      <w:proofErr w:type="spellStart"/>
      <w:r w:rsidRPr="002D3298">
        <w:rPr>
          <w:i/>
          <w:iCs/>
        </w:rPr>
        <w:t>talio</w:t>
      </w:r>
      <w:proofErr w:type="spellEnd"/>
      <w:r>
        <w:t xml:space="preserve">); molte leggi stabiliscono la punizione del furto elencando un gran numero di casi: il furto in un tempio, il furto ai danni di un nobile, il furto ai danni di un uomo di umili origini); molte leggi sono relative alla vita in campagna (dal momento che il territorio bagnato dai due fiumi canalizzati consentiva l’agricoltura) e vogliono essere di aiuto ai piccoli contadini in difficoltà, ma anche impedire abusi (ad esempio il taglio di alberi non propri) e controllare che il lavoro nei campi sia svolto con cura e senza danneggiare il terreno confinante. </w:t>
      </w:r>
    </w:p>
    <w:p w:rsidR="00942929" w:rsidRDefault="00942929" w:rsidP="00942929">
      <w:pPr>
        <w:spacing w:after="0" w:line="360" w:lineRule="auto"/>
      </w:pPr>
      <w:r>
        <w:t xml:space="preserve">Particolarmente interessanti sono le leggi sulla famiglia che tendono a tutelare </w:t>
      </w:r>
      <w:r w:rsidR="0076656C">
        <w:t>soggetti deboli, le donne e i figli</w:t>
      </w:r>
      <w:r>
        <w:t xml:space="preserve">. </w:t>
      </w:r>
    </w:p>
    <w:p w:rsidR="00942929" w:rsidRDefault="0076656C" w:rsidP="00942929">
      <w:pPr>
        <w:spacing w:after="0" w:line="360" w:lineRule="auto"/>
      </w:pPr>
      <w:r>
        <w:t xml:space="preserve">A tutela della donna. </w:t>
      </w:r>
      <w:r w:rsidR="00942929">
        <w:t xml:space="preserve">Se l’uomo sposato non ha rapporti con la donna, questa non può essere considerata sua moglie; un uomo non può allontanare la moglie dalla propria casa senza provare la sua colpa; e la donna, se non ha colpa, può tornare alla casa paterna portando la sua dote; un uomo sposato con una donna sterile, può prendere in casa una </w:t>
      </w:r>
      <w:proofErr w:type="spellStart"/>
      <w:r w:rsidR="00942929">
        <w:t>concubìna</w:t>
      </w:r>
      <w:proofErr w:type="spellEnd"/>
      <w:r w:rsidR="00942929">
        <w:t xml:space="preserve"> (vale a dire una convivente, un’amante, una compagna), ma questa non può essere considerata uguale alla moglie legittima; un uomo non può allontanare dalla propria casa la moglie malata, anzi deve assisterla e curarla sino alla morte; se invece la donna non vuole vivere con il marito, può tornare alla casa paterna portando la sua dote. </w:t>
      </w:r>
    </w:p>
    <w:p w:rsidR="00942929" w:rsidRDefault="00942929" w:rsidP="00942929">
      <w:pPr>
        <w:spacing w:after="0" w:line="360" w:lineRule="auto"/>
      </w:pPr>
      <w:r>
        <w:t xml:space="preserve">A tutela dei figli: se un uomo sposa una donna che gli dà dei figli e poi muore, il padre della moglie non potrà riavere la dote che va invece ai figli; se un uomo sposa una donna che gli dà dei figli e poi muore, e se l’uomo sposa un’altra donna che gli dà dei figli, quando il padre muore, i figli non divideranno i beni delle loro madri, prenderanno le doti delle loro rispettive madri e divideranno in parti uguali i beni paterni; se un uomo decide di diseredare suo figlio, lo comunica ai giudici i quali, se accertano che il figlio non ha commesso una colpa così grave da essere escluso dall’asse ereditario, il giovane non potrà essere diseredato dal padre; se una donna si risposa e non mette al mondo dei bambini con il secondo marito, solo i bambini avuti con il primo marito avranno la sua dote. </w:t>
      </w:r>
    </w:p>
    <w:p w:rsidR="00942929" w:rsidRDefault="00942929" w:rsidP="00942929">
      <w:pPr>
        <w:spacing w:after="0" w:line="360" w:lineRule="auto"/>
      </w:pPr>
      <w:r>
        <w:t xml:space="preserve">A tutela dei figli adottati: se un uomo adotta un bambino e lo alleva, l’adottato non potrà essere reclamato; se un artigiano prende un ragazzo per allevarlo e gli insegna il suo mestiere, il giovane </w:t>
      </w:r>
    </w:p>
    <w:p w:rsidR="00942929" w:rsidRDefault="00942929" w:rsidP="00942929">
      <w:pPr>
        <w:spacing w:after="0" w:line="360" w:lineRule="auto"/>
      </w:pPr>
      <w:r>
        <w:t>non potrà essere reclamato; se invece non gli insegna il suo mestiere, il giovane adottato tornerà alla casa paterna; se un uomo non considera il ragazzo adottato uguale ai suoi figli, l’adottato tornerà alla casa paterna.</w:t>
      </w:r>
    </w:p>
    <w:p w:rsidR="00F924DD" w:rsidRDefault="00942929" w:rsidP="00942929">
      <w:pPr>
        <w:spacing w:after="0" w:line="360" w:lineRule="auto"/>
      </w:pPr>
      <w:r>
        <w:lastRenderedPageBreak/>
        <w:t xml:space="preserve">Il re Hammurabi era convinto di avere dato al suo popolo le leggi migliori. Nell’epilogo del codice </w:t>
      </w:r>
    </w:p>
    <w:p w:rsidR="00942929" w:rsidRDefault="00942929" w:rsidP="00942929">
      <w:pPr>
        <w:spacing w:after="0" w:line="360" w:lineRule="auto"/>
      </w:pPr>
      <w:r>
        <w:t xml:space="preserve">si legge: Che l’uomo trattato ingiustamente, che è implicato in una causa, venga davanti alla mia immagine (venga davanti a me) il re della giustizia, e si faccia leggere la mia iscrizione, che ascolti le mie preziose parole, che l’iscrizione gli spieghi la causa (vale a dire i termini della controversia giuridica), esamini il suo caso e che il suo cuore gioisca. Che egli mi lodi così: Hammurabi il re che è come un padre per il suo popolo si è sottomesso all’ordine di Marduk (la divinità al vertice del </w:t>
      </w:r>
      <w:proofErr w:type="spellStart"/>
      <w:r>
        <w:t>pàntheon</w:t>
      </w:r>
      <w:proofErr w:type="spellEnd"/>
      <w:r>
        <w:t xml:space="preserve"> sotto il regno di Hammurabi), suo signore […] (Hammurabi) ha assicurato per sempre il benessere del suo popolo e ha fatto regnare la giustizia nel paese. Che egli parli così e che preghi per me con tutto il suo cuore davanti al dio Marduk, figlio di Ea, dio della saggezza […] Poco dopo Hammurabi impone ad ogni futuro re l’obbligo di osservare per sempre le sue leggi e di non cambiarle; aggiunge che, se il successore rispetterà le sue leggi, il dio della giustizia lo proteggerà, lo farà regnare a lungo ed egli sarà un pastore per il suo popolo. Hammurabi maledice al contrario il futuro re che abrogherà le leggi, oppure le cambierà, e invoca ad uno ad uno tutti gli dei perché lo puniscano duramente e gli procurino una serie di disgrazie che vanno dalla perdita del trono, alla distruzione del paese, alla malattia. </w:t>
      </w:r>
    </w:p>
    <w:p w:rsidR="00942929" w:rsidRDefault="00942929" w:rsidP="00942929">
      <w:pPr>
        <w:spacing w:after="0" w:line="360" w:lineRule="auto"/>
      </w:pPr>
    </w:p>
    <w:p w:rsidR="00942929" w:rsidRDefault="00942929" w:rsidP="00942929">
      <w:pPr>
        <w:spacing w:after="0" w:line="360" w:lineRule="auto"/>
      </w:pPr>
      <w:r>
        <w:t xml:space="preserve">Mettiamo fine a questa interessante incursione nella mentalità dell’antico re babilonese che si fa </w:t>
      </w:r>
    </w:p>
    <w:p w:rsidR="00942929" w:rsidRDefault="00942929" w:rsidP="00942929">
      <w:pPr>
        <w:spacing w:after="0" w:line="360" w:lineRule="auto"/>
      </w:pPr>
      <w:r>
        <w:t xml:space="preserve">garante di una condizione di equilibrio dei suoi sudditi difendendo le categorie più deboli e </w:t>
      </w:r>
    </w:p>
    <w:p w:rsidR="00942929" w:rsidRDefault="00942929" w:rsidP="00942929">
      <w:pPr>
        <w:spacing w:after="0" w:line="360" w:lineRule="auto"/>
      </w:pPr>
      <w:r>
        <w:t xml:space="preserve">riflettiamo sulle leggi sulla famiglia e sulla eredità che abbiamo appena visto. Le leggi di Solone relative alla famiglia, alla difesa delle donne, delle mogli, dei figli sembrano riecheggiare le leggi babilonesi e si potrebbe quindi individuare nel codice </w:t>
      </w:r>
      <w:r w:rsidR="0076656C">
        <w:t>oriental</w:t>
      </w:r>
      <w:r>
        <w:t>e una fonte di ispirazione per il legislatore di Atene.</w:t>
      </w:r>
    </w:p>
    <w:p w:rsidR="00942929" w:rsidRDefault="00942929" w:rsidP="00942929">
      <w:pPr>
        <w:spacing w:after="0" w:line="360" w:lineRule="auto"/>
      </w:pPr>
    </w:p>
    <w:p w:rsidR="00942929" w:rsidRDefault="00942929" w:rsidP="00942929">
      <w:pPr>
        <w:spacing w:after="0" w:line="360" w:lineRule="auto"/>
      </w:pPr>
      <w:r>
        <w:t xml:space="preserve">Vorrei ora fare qualche piccola osservazione sull’impatto di una legislazione scritta ad Atene. Partiamo dall’epilogo del codice babilonese dove si legge questo consiglio: chi ha dei problemi giuridici, venga davanti alla mia immagine (davanti a me), il re della giustizia, </w:t>
      </w:r>
      <w:r w:rsidRPr="00FE388F">
        <w:rPr>
          <w:u w:val="single"/>
        </w:rPr>
        <w:t>e si faccia leggere la mia iscrizione</w:t>
      </w:r>
      <w:r>
        <w:t xml:space="preserve">. Questo significa che il livello di alfabetizzazione in Mesopotamia non era così elevato da permettere a chiunque di leggere le disposizioni del re. Mi chiedo se lo stesso problema non si sarà posto, molti secoli dopo ad Atene, agli inizi del VI secolo, quando furono scritte le leggi </w:t>
      </w:r>
    </w:p>
    <w:p w:rsidR="00942929" w:rsidRDefault="00942929" w:rsidP="00942929">
      <w:pPr>
        <w:spacing w:after="0" w:line="360" w:lineRule="auto"/>
      </w:pPr>
      <w:r>
        <w:t xml:space="preserve">di Solone e tutti potevano fare ruotare le tavole per trovare una risposta ai propri problemi. </w:t>
      </w:r>
    </w:p>
    <w:p w:rsidR="00942929" w:rsidRDefault="00942929" w:rsidP="00942929">
      <w:pPr>
        <w:spacing w:after="0" w:line="360" w:lineRule="auto"/>
      </w:pPr>
      <w:r>
        <w:t xml:space="preserve">Molti studiosi sono convinti che un livello diffuso di alfabetizzazione si avrà quasi certamente nel V secolo, ma magari aggiungerei non proprio nei primi decenni. A questo proposito si può ricordare una notizia preziosa che si legge in Plutarco, nella </w:t>
      </w:r>
      <w:r>
        <w:rPr>
          <w:i/>
          <w:iCs/>
        </w:rPr>
        <w:t xml:space="preserve">Vita di </w:t>
      </w:r>
      <w:proofErr w:type="spellStart"/>
      <w:r>
        <w:rPr>
          <w:i/>
          <w:iCs/>
        </w:rPr>
        <w:t>Aristìde</w:t>
      </w:r>
      <w:proofErr w:type="spellEnd"/>
      <w:r>
        <w:rPr>
          <w:i/>
          <w:iCs/>
        </w:rPr>
        <w:t xml:space="preserve"> </w:t>
      </w:r>
      <w:r>
        <w:t>7, al paragrafo 2.</w:t>
      </w:r>
    </w:p>
    <w:p w:rsidR="00D23FC5" w:rsidRDefault="00D23FC5" w:rsidP="00942929">
      <w:pPr>
        <w:spacing w:after="0" w:line="360" w:lineRule="auto"/>
      </w:pPr>
    </w:p>
    <w:p w:rsidR="00F924DD" w:rsidRDefault="00942929" w:rsidP="00942929">
      <w:pPr>
        <w:spacing w:after="0" w:line="360" w:lineRule="auto"/>
      </w:pPr>
      <w:r>
        <w:lastRenderedPageBreak/>
        <w:t xml:space="preserve">Sappiamo che proprio negli ultimi anni del VI secolo, nel 508, c’era stata l’istituzione </w:t>
      </w:r>
    </w:p>
    <w:p w:rsidR="00F924DD" w:rsidRDefault="00942929" w:rsidP="00942929">
      <w:pPr>
        <w:spacing w:after="0" w:line="360" w:lineRule="auto"/>
      </w:pPr>
      <w:r>
        <w:t xml:space="preserve">dell’ostracismo da parte di Clistene. (Il termine ostracismo è un grecismo, deriva dal sostantivo </w:t>
      </w:r>
    </w:p>
    <w:p w:rsidR="00942929" w:rsidRDefault="00942929" w:rsidP="00942929">
      <w:pPr>
        <w:spacing w:after="0" w:line="360" w:lineRule="auto"/>
      </w:pPr>
      <w:proofErr w:type="spellStart"/>
      <w:r>
        <w:t>òstracon</w:t>
      </w:r>
      <w:proofErr w:type="spellEnd"/>
      <w:r>
        <w:t xml:space="preserve">, coccio. I nomi dei politici venivano appunto scritti su di un coccio, ad esempio il coccio di un vaso, di un piatto che si era rotto).  In seguito al provvedimento di Clistene, nella sesta </w:t>
      </w:r>
      <w:proofErr w:type="spellStart"/>
      <w:r>
        <w:t>pritanìa</w:t>
      </w:r>
      <w:proofErr w:type="spellEnd"/>
      <w:r>
        <w:t xml:space="preserve"> si riuniva una assemblea che aveva come obiettivo quello di condannare degli uomini politici ad un allontanamento da Atene per un periodo della durata di dieci anni. Nel 483 uno dei candidati </w:t>
      </w:r>
    </w:p>
    <w:p w:rsidR="00942929" w:rsidRDefault="00942929" w:rsidP="00942929">
      <w:pPr>
        <w:spacing w:after="0" w:line="360" w:lineRule="auto"/>
      </w:pPr>
      <w:r>
        <w:t xml:space="preserve">all’ostracismo era il nobile </w:t>
      </w:r>
      <w:proofErr w:type="spellStart"/>
      <w:r>
        <w:t>Aristìde</w:t>
      </w:r>
      <w:proofErr w:type="spellEnd"/>
      <w:r>
        <w:t xml:space="preserve">, soprannominato “il Giusto”. Di lui Erodoto, in VIII 79, 1, afferma che era “il più giusto degli Ateniesi”. A questo proposito si può ricordare che aveva </w:t>
      </w:r>
    </w:p>
    <w:p w:rsidR="00654ACB" w:rsidRDefault="00942929" w:rsidP="00942929">
      <w:pPr>
        <w:spacing w:after="0" w:line="360" w:lineRule="auto"/>
      </w:pPr>
      <w:r>
        <w:t xml:space="preserve">combattuto come </w:t>
      </w:r>
      <w:proofErr w:type="spellStart"/>
      <w:r>
        <w:t>stratègo</w:t>
      </w:r>
      <w:proofErr w:type="spellEnd"/>
      <w:r>
        <w:t xml:space="preserve"> a Maratona e alla fine della battaglia era stato lasciato, con la sua tribù, a guardia dei prigionieri persiani e del bottino, ma non si era appropriato di nulla (</w:t>
      </w:r>
      <w:r>
        <w:rPr>
          <w:i/>
          <w:iCs/>
        </w:rPr>
        <w:t xml:space="preserve">Vita di </w:t>
      </w:r>
      <w:proofErr w:type="spellStart"/>
      <w:r>
        <w:rPr>
          <w:i/>
          <w:iCs/>
        </w:rPr>
        <w:t>Aristìde</w:t>
      </w:r>
      <w:proofErr w:type="spellEnd"/>
      <w:r>
        <w:rPr>
          <w:i/>
          <w:iCs/>
        </w:rPr>
        <w:t xml:space="preserve"> </w:t>
      </w:r>
      <w:r>
        <w:t xml:space="preserve">5, </w:t>
      </w:r>
    </w:p>
    <w:p w:rsidR="00654ACB" w:rsidRDefault="00942929" w:rsidP="00942929">
      <w:pPr>
        <w:spacing w:after="0" w:line="360" w:lineRule="auto"/>
      </w:pPr>
      <w:r>
        <w:t xml:space="preserve">6). Alla fine delle guerre persiane, nel 478, sarà incaricato di fissare il tributo che tutti gli alleati che </w:t>
      </w:r>
    </w:p>
    <w:p w:rsidR="00942929" w:rsidRDefault="00942929" w:rsidP="00942929">
      <w:pPr>
        <w:spacing w:after="0" w:line="360" w:lineRule="auto"/>
      </w:pPr>
      <w:r>
        <w:t xml:space="preserve">facevano parte della lega delio-attica, la lega marittima, dovevano versare ogni anno ad Atene. I tributi riscossi ammontavano a 460 talenti, ma nessun popolo si lamentava proprio perché la cifra stabilita era equa (24, 1-5). Il riconoscimento della sua virtù procurò ad </w:t>
      </w:r>
      <w:proofErr w:type="spellStart"/>
      <w:r>
        <w:t>Aristìde</w:t>
      </w:r>
      <w:proofErr w:type="spellEnd"/>
      <w:r>
        <w:t xml:space="preserve"> in un primo tempo l’affetto, ma in seguito l’odio di molti e si pensò di ostracizzarlo (7, 1). Da Plutarco sappiamo anche che i candidati all’ostracismo erano accusati di aspirare alla tirannide, vale a dire di volere esercitare un potere personale, ma che dietro questa pesante accusa si intravedeva l’invidia che gli Ateniesi provavano per la buona fama di cui godevano alcuni cittadini (7, 2). </w:t>
      </w:r>
      <w:proofErr w:type="spellStart"/>
      <w:r>
        <w:t>Aristìde</w:t>
      </w:r>
      <w:proofErr w:type="spellEnd"/>
      <w:r>
        <w:t>, candidato all’ostracismo, andò anche lui in assemblea</w:t>
      </w:r>
      <w:r w:rsidR="00E25566">
        <w:t xml:space="preserve"> e forse prese, come tutti, un coccio</w:t>
      </w:r>
      <w:r>
        <w:t xml:space="preserve">. </w:t>
      </w:r>
      <w:r w:rsidR="00E25566">
        <w:t xml:space="preserve">Plutarco riporta a questo punto una tradizione orale: </w:t>
      </w:r>
      <w:r>
        <w:t xml:space="preserve">“si dice”  che un contadino “che non sapeva scrivere” diede, non conoscendolo di persona, il suo coccio proprio ad Aristide, pregandolo di aiutarlo </w:t>
      </w:r>
      <w:r w:rsidR="00A16B66">
        <w:t xml:space="preserve">a </w:t>
      </w:r>
      <w:r>
        <w:t xml:space="preserve">scrivere il nome di </w:t>
      </w:r>
      <w:proofErr w:type="spellStart"/>
      <w:r>
        <w:t>Aristìde</w:t>
      </w:r>
      <w:proofErr w:type="spellEnd"/>
      <w:r>
        <w:t xml:space="preserve"> al posto suo. </w:t>
      </w:r>
      <w:proofErr w:type="spellStart"/>
      <w:r>
        <w:t>Aristìde</w:t>
      </w:r>
      <w:proofErr w:type="spellEnd"/>
      <w:r>
        <w:t xml:space="preserve"> si meravigliò e chiese al contadino che male gli aveva fatto </w:t>
      </w:r>
      <w:proofErr w:type="spellStart"/>
      <w:r>
        <w:t>Arist</w:t>
      </w:r>
      <w:r w:rsidR="00E25566">
        <w:t>ì</w:t>
      </w:r>
      <w:r>
        <w:t>de</w:t>
      </w:r>
      <w:proofErr w:type="spellEnd"/>
      <w:r>
        <w:t xml:space="preserve">. Il contadino disse: niente, non lo conosco, ma mi dà fastidio sentire dappertutto che è chiamato “il Giusto”. E </w:t>
      </w:r>
      <w:proofErr w:type="spellStart"/>
      <w:r>
        <w:t>Aristìde</w:t>
      </w:r>
      <w:proofErr w:type="spellEnd"/>
      <w:r>
        <w:t xml:space="preserve">, che era davvero “giusto” non rispose, scrisse il proprio nome sul coccio e lo restituì al contadino (7,7-8). </w:t>
      </w:r>
      <w:r w:rsidR="00D53B47">
        <w:t xml:space="preserve">(A proposito del contadino possiamo osservare che i contadini non abitavano in città, ma al paragrafo 2 si legge che, per partecipare alla votazione, giunsero persone in città da ogni parte). </w:t>
      </w:r>
    </w:p>
    <w:p w:rsidR="00942929" w:rsidRDefault="00942929" w:rsidP="00942929">
      <w:pPr>
        <w:spacing w:after="0" w:line="360" w:lineRule="auto"/>
      </w:pPr>
      <w:r>
        <w:t xml:space="preserve">Si tratta, come abbiamo visto, di un piccolo episodio di vita quotidiana nell’Atene degli inizi del V secolo che costringe, però, a riflettere sul livello di alfabetizzazione e ancora di più sul processo di democratizzazione. </w:t>
      </w:r>
    </w:p>
    <w:p w:rsidR="00942929" w:rsidRDefault="00942929" w:rsidP="00942929">
      <w:pPr>
        <w:spacing w:after="0" w:line="360" w:lineRule="auto"/>
      </w:pPr>
    </w:p>
    <w:p w:rsidR="00942929" w:rsidRPr="00D061BE" w:rsidRDefault="00942929" w:rsidP="00942929">
      <w:pPr>
        <w:spacing w:after="0" w:line="360" w:lineRule="auto"/>
      </w:pPr>
      <w:r>
        <w:t>Per un accenno alla fortuna delle leggi di Solone</w:t>
      </w:r>
      <w:r w:rsidR="00DA50DF">
        <w:t xml:space="preserve"> considerate tanto utili e buone da essere</w:t>
      </w:r>
      <w:r>
        <w:t xml:space="preserve"> utilizzate </w:t>
      </w:r>
      <w:r w:rsidR="00DA50DF">
        <w:t>ancor</w:t>
      </w:r>
      <w:r>
        <w:t xml:space="preserve">a Roma, vi rimando all’ultima pagina (167) del mio lavoro </w:t>
      </w:r>
      <w:r>
        <w:rPr>
          <w:i/>
          <w:iCs/>
        </w:rPr>
        <w:t>Le leggi di Solone</w:t>
      </w:r>
      <w:r>
        <w:t>.</w:t>
      </w:r>
    </w:p>
    <w:p w:rsidR="00382DF9" w:rsidRDefault="00382DF9"/>
    <w:sectPr w:rsidR="00382DF9">
      <w:footerReference w:type="default" r:id="rId8"/>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7FFC" w:rsidRDefault="00AD7FFC" w:rsidP="00942929">
      <w:pPr>
        <w:spacing w:after="0" w:line="240" w:lineRule="auto"/>
      </w:pPr>
      <w:r>
        <w:separator/>
      </w:r>
    </w:p>
  </w:endnote>
  <w:endnote w:type="continuationSeparator" w:id="0">
    <w:p w:rsidR="00AD7FFC" w:rsidRDefault="00AD7FFC" w:rsidP="009429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086686"/>
      <w:docPartObj>
        <w:docPartGallery w:val="Page Numbers (Bottom of Page)"/>
        <w:docPartUnique/>
      </w:docPartObj>
    </w:sdtPr>
    <w:sdtEndPr/>
    <w:sdtContent>
      <w:p w:rsidR="00942929" w:rsidRDefault="00942929">
        <w:pPr>
          <w:pStyle w:val="Pidipagina"/>
          <w:jc w:val="right"/>
        </w:pPr>
        <w:r>
          <w:fldChar w:fldCharType="begin"/>
        </w:r>
        <w:r>
          <w:instrText>PAGE   \* MERGEFORMAT</w:instrText>
        </w:r>
        <w:r>
          <w:fldChar w:fldCharType="separate"/>
        </w:r>
        <w:r>
          <w:t>2</w:t>
        </w:r>
        <w:r>
          <w:fldChar w:fldCharType="end"/>
        </w:r>
      </w:p>
    </w:sdtContent>
  </w:sdt>
  <w:p w:rsidR="00441601" w:rsidRDefault="00AD7FF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7FFC" w:rsidRDefault="00AD7FFC" w:rsidP="00942929">
      <w:pPr>
        <w:spacing w:after="0" w:line="240" w:lineRule="auto"/>
      </w:pPr>
      <w:r>
        <w:separator/>
      </w:r>
    </w:p>
  </w:footnote>
  <w:footnote w:type="continuationSeparator" w:id="0">
    <w:p w:rsidR="00AD7FFC" w:rsidRDefault="00AD7FFC" w:rsidP="009429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929"/>
    <w:rsid w:val="001530FE"/>
    <w:rsid w:val="00197D04"/>
    <w:rsid w:val="0022370B"/>
    <w:rsid w:val="00262C9A"/>
    <w:rsid w:val="00331C0B"/>
    <w:rsid w:val="00357C10"/>
    <w:rsid w:val="00382DF9"/>
    <w:rsid w:val="0050113A"/>
    <w:rsid w:val="00654ACB"/>
    <w:rsid w:val="00743B1E"/>
    <w:rsid w:val="0076656C"/>
    <w:rsid w:val="008F490B"/>
    <w:rsid w:val="009332BC"/>
    <w:rsid w:val="00942929"/>
    <w:rsid w:val="00A16B66"/>
    <w:rsid w:val="00A50125"/>
    <w:rsid w:val="00AD7FFC"/>
    <w:rsid w:val="00B274C3"/>
    <w:rsid w:val="00D23FC5"/>
    <w:rsid w:val="00D53B47"/>
    <w:rsid w:val="00DA50DF"/>
    <w:rsid w:val="00E25566"/>
    <w:rsid w:val="00E3600F"/>
    <w:rsid w:val="00EB3C7A"/>
    <w:rsid w:val="00ED2149"/>
    <w:rsid w:val="00F924D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68D08"/>
  <w15:chartTrackingRefBased/>
  <w15:docId w15:val="{06CEAA10-B828-4F84-A227-E776A7AC5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it-IT"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42929"/>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9429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42929"/>
  </w:style>
  <w:style w:type="paragraph" w:styleId="Intestazione">
    <w:name w:val="header"/>
    <w:basedOn w:val="Normale"/>
    <w:link w:val="IntestazioneCarattere"/>
    <w:uiPriority w:val="99"/>
    <w:unhideWhenUsed/>
    <w:rsid w:val="009429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42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1366</Words>
  <Characters>7789</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Silvana</dc:creator>
  <cp:keywords/>
  <dc:description/>
  <cp:lastModifiedBy>Silvana</cp:lastModifiedBy>
  <cp:revision>16</cp:revision>
  <dcterms:created xsi:type="dcterms:W3CDTF">2020-05-06T13:33:00Z</dcterms:created>
  <dcterms:modified xsi:type="dcterms:W3CDTF">2020-05-11T07:11:00Z</dcterms:modified>
</cp:coreProperties>
</file>