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767"/>
        <w:gridCol w:w="2483"/>
        <w:gridCol w:w="1513"/>
      </w:tblGrid>
      <w:tr w:rsidR="00455F85" w:rsidRPr="002335D2" w14:paraId="796047ED" w14:textId="77777777" w:rsidTr="00E2145B">
        <w:tc>
          <w:tcPr>
            <w:tcW w:w="4077" w:type="dxa"/>
            <w:shd w:val="clear" w:color="auto" w:fill="B2A1C7"/>
          </w:tcPr>
          <w:p w14:paraId="655A8942" w14:textId="77777777" w:rsidR="0013566D" w:rsidRPr="002335D2" w:rsidRDefault="0013566D" w:rsidP="005E6426">
            <w:pPr>
              <w:spacing w:after="0"/>
              <w:rPr>
                <w:rFonts w:ascii="Gill Sans MT" w:hAnsi="Gill Sans MT"/>
                <w:b/>
                <w:sz w:val="24"/>
                <w:szCs w:val="24"/>
                <w:highlight w:val="red"/>
              </w:rPr>
            </w:pPr>
            <w:r w:rsidRPr="002335D2">
              <w:rPr>
                <w:rFonts w:ascii="Gill Sans MT" w:hAnsi="Gill Sans MT"/>
                <w:b/>
                <w:sz w:val="24"/>
                <w:szCs w:val="24"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5D50A1E9" w14:textId="77777777" w:rsidR="0013566D" w:rsidRPr="002335D2" w:rsidRDefault="0013566D" w:rsidP="005E6426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050138" w:rsidRPr="002335D2" w14:paraId="4D0E5489" w14:textId="77777777" w:rsidTr="00E2145B">
        <w:tc>
          <w:tcPr>
            <w:tcW w:w="4077" w:type="dxa"/>
            <w:shd w:val="clear" w:color="auto" w:fill="auto"/>
          </w:tcPr>
          <w:p w14:paraId="7DB43898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05EC15D6" w14:textId="77777777" w:rsidR="00050138" w:rsidRPr="002335D2" w:rsidRDefault="00971FA5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Filosofia araba ed ebraica</w:t>
            </w:r>
          </w:p>
        </w:tc>
      </w:tr>
      <w:tr w:rsidR="00CC5A16" w:rsidRPr="002335D2" w14:paraId="6D1F0AD7" w14:textId="77777777" w:rsidTr="00E2145B">
        <w:tc>
          <w:tcPr>
            <w:tcW w:w="4077" w:type="dxa"/>
            <w:shd w:val="clear" w:color="auto" w:fill="auto"/>
          </w:tcPr>
          <w:p w14:paraId="39CDE28A" w14:textId="77777777" w:rsidR="00CC5A16" w:rsidRPr="002335D2" w:rsidRDefault="00CC5A16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Anno Accademico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2A7888A6" w14:textId="77777777" w:rsidR="00CC5A16" w:rsidRPr="002335D2" w:rsidRDefault="00971FA5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2018-2019</w:t>
            </w:r>
          </w:p>
        </w:tc>
      </w:tr>
      <w:tr w:rsidR="00050138" w:rsidRPr="002335D2" w14:paraId="29423F23" w14:textId="77777777" w:rsidTr="00E2145B">
        <w:tc>
          <w:tcPr>
            <w:tcW w:w="4077" w:type="dxa"/>
            <w:shd w:val="clear" w:color="auto" w:fill="auto"/>
          </w:tcPr>
          <w:p w14:paraId="5AEFBF55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3A8C0901" w14:textId="77777777" w:rsidR="00050138" w:rsidRPr="002335D2" w:rsidRDefault="004B147B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Filosofia</w:t>
            </w:r>
          </w:p>
        </w:tc>
      </w:tr>
      <w:tr w:rsidR="00050138" w:rsidRPr="002335D2" w14:paraId="593FD531" w14:textId="77777777" w:rsidTr="00E2145B">
        <w:tc>
          <w:tcPr>
            <w:tcW w:w="4077" w:type="dxa"/>
            <w:shd w:val="clear" w:color="auto" w:fill="auto"/>
          </w:tcPr>
          <w:p w14:paraId="6D7CD809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6978C58E" w14:textId="77777777" w:rsidR="00050138" w:rsidRPr="002335D2" w:rsidRDefault="00AF5A7B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</w:p>
        </w:tc>
      </w:tr>
      <w:tr w:rsidR="00050138" w:rsidRPr="002335D2" w14:paraId="7DF93DCF" w14:textId="77777777" w:rsidTr="00E2145B">
        <w:tc>
          <w:tcPr>
            <w:tcW w:w="4077" w:type="dxa"/>
            <w:shd w:val="clear" w:color="auto" w:fill="auto"/>
          </w:tcPr>
          <w:p w14:paraId="00E29544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0F850ABA" w14:textId="77777777" w:rsidR="00050138" w:rsidRPr="002335D2" w:rsidRDefault="004B147B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</w:rPr>
              <w:t>Arabic</w:t>
            </w:r>
            <w:proofErr w:type="spellEnd"/>
            <w:r>
              <w:rPr>
                <w:rFonts w:ascii="Gill Sans MT" w:hAnsi="Gill Sans MT"/>
              </w:rPr>
              <w:t xml:space="preserve"> and </w:t>
            </w:r>
            <w:proofErr w:type="spellStart"/>
            <w:r>
              <w:rPr>
                <w:rFonts w:ascii="Gill Sans MT" w:hAnsi="Gill Sans MT"/>
              </w:rPr>
              <w:t>Jewish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Philosophy</w:t>
            </w:r>
            <w:proofErr w:type="spellEnd"/>
          </w:p>
        </w:tc>
      </w:tr>
      <w:tr w:rsidR="00050138" w:rsidRPr="002335D2" w14:paraId="17133FB0" w14:textId="77777777" w:rsidTr="00E2145B">
        <w:tc>
          <w:tcPr>
            <w:tcW w:w="4077" w:type="dxa"/>
            <w:shd w:val="clear" w:color="auto" w:fill="auto"/>
          </w:tcPr>
          <w:p w14:paraId="5DC53B66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Obbligo di frequenza</w:t>
            </w:r>
          </w:p>
          <w:p w14:paraId="7284B0C3" w14:textId="77777777" w:rsidR="00097737" w:rsidRPr="002335D2" w:rsidRDefault="00097737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  <w:p w14:paraId="677E1A94" w14:textId="77777777" w:rsidR="00097737" w:rsidRPr="002335D2" w:rsidRDefault="00097737" w:rsidP="005E6426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6BCE95C6" w14:textId="77777777" w:rsidR="00097737" w:rsidRPr="002335D2" w:rsidRDefault="00097737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763" w:type="dxa"/>
            <w:gridSpan w:val="3"/>
            <w:shd w:val="clear" w:color="auto" w:fill="auto"/>
          </w:tcPr>
          <w:p w14:paraId="6F54D05A" w14:textId="77777777" w:rsidR="00097737" w:rsidRPr="002335D2" w:rsidRDefault="00097737" w:rsidP="005E6426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 xml:space="preserve">L’obbligo di frequenza è disciplinato dal Regolamento didattico del </w:t>
            </w:r>
            <w:proofErr w:type="spellStart"/>
            <w:r w:rsidRPr="002335D2">
              <w:rPr>
                <w:rFonts w:ascii="Gill Sans MT" w:hAnsi="Gill Sans MT"/>
                <w:sz w:val="24"/>
                <w:szCs w:val="24"/>
              </w:rPr>
              <w:t>CdS</w:t>
            </w:r>
            <w:proofErr w:type="spellEnd"/>
          </w:p>
          <w:p w14:paraId="23C9FD9D" w14:textId="77777777" w:rsidR="00050138" w:rsidRPr="002335D2" w:rsidRDefault="00E643C5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hyperlink r:id="rId6" w:history="1">
              <w:r w:rsidR="00097737" w:rsidRPr="002335D2">
                <w:rPr>
                  <w:rStyle w:val="Collegamentoipertestuale"/>
                  <w:rFonts w:ascii="Gill Sans MT" w:hAnsi="Gill Sans MT"/>
                  <w:sz w:val="24"/>
                  <w:szCs w:val="24"/>
                </w:rPr>
                <w:t>http://www.uniba.it/corsi/filosofia/presentazione-del-corso/regolamento-del-corso</w:t>
              </w:r>
            </w:hyperlink>
          </w:p>
        </w:tc>
      </w:tr>
      <w:tr w:rsidR="00050138" w:rsidRPr="002335D2" w14:paraId="7E5A1165" w14:textId="77777777" w:rsidTr="00E2145B">
        <w:tc>
          <w:tcPr>
            <w:tcW w:w="4077" w:type="dxa"/>
            <w:shd w:val="clear" w:color="auto" w:fill="auto"/>
          </w:tcPr>
          <w:p w14:paraId="587EF9A2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1A3BAC9F" w14:textId="77777777" w:rsidR="00050138" w:rsidRPr="002335D2" w:rsidRDefault="00097737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ITALIANO</w:t>
            </w:r>
          </w:p>
        </w:tc>
      </w:tr>
      <w:tr w:rsidR="00050138" w:rsidRPr="002335D2" w14:paraId="171809FD" w14:textId="77777777" w:rsidTr="00E2145B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5A5463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44E2F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0138" w:rsidRPr="002335D2" w14:paraId="14CB31C9" w14:textId="77777777" w:rsidTr="00E2145B">
        <w:tc>
          <w:tcPr>
            <w:tcW w:w="4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1043E922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bookmarkStart w:id="0" w:name="_GoBack"/>
            <w:bookmarkEnd w:id="0"/>
            <w:r w:rsidRPr="002335D2">
              <w:rPr>
                <w:rFonts w:ascii="Gill Sans MT" w:hAnsi="Gill Sans MT"/>
                <w:b/>
                <w:sz w:val="24"/>
                <w:szCs w:val="24"/>
              </w:rPr>
              <w:t>Docente responsabile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8537600" w14:textId="77777777" w:rsidR="00050138" w:rsidRPr="002335D2" w:rsidRDefault="0014024D" w:rsidP="005E6426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Marienza Benedetto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4E29DC3" w14:textId="77777777" w:rsidR="00050138" w:rsidRPr="002335D2" w:rsidRDefault="0014024D" w:rsidP="005E6426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marienza.benedetto@uniba.it</w:t>
            </w:r>
          </w:p>
        </w:tc>
      </w:tr>
      <w:tr w:rsidR="00050138" w:rsidRPr="002335D2" w14:paraId="1261179C" w14:textId="77777777" w:rsidTr="00E2145B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241ADBB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14:paraId="3CB2C43D" w14:textId="77777777" w:rsidR="00050138" w:rsidRPr="002335D2" w:rsidRDefault="00050138" w:rsidP="005E6426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1F21D1" w14:textId="77777777" w:rsidR="00050138" w:rsidRPr="002335D2" w:rsidRDefault="00050138" w:rsidP="005E6426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0138" w:rsidRPr="002335D2" w14:paraId="70FCC908" w14:textId="77777777" w:rsidTr="00E2145B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3767E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589CE" w14:textId="77777777" w:rsidR="00050138" w:rsidRPr="002335D2" w:rsidRDefault="00050138" w:rsidP="005E6426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3468FE" w14:textId="77777777" w:rsidR="00050138" w:rsidRPr="002335D2" w:rsidRDefault="00050138" w:rsidP="005E6426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CCB37" w14:textId="77777777" w:rsidR="00050138" w:rsidRPr="002335D2" w:rsidRDefault="00050138" w:rsidP="005E6426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0138" w:rsidRPr="002335D2" w14:paraId="77059709" w14:textId="77777777" w:rsidTr="00E2145B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2CB91FC2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335D2">
              <w:rPr>
                <w:rFonts w:ascii="Gill Sans MT" w:hAnsi="Gill Sans MT"/>
                <w:b/>
                <w:sz w:val="24"/>
                <w:szCs w:val="24"/>
              </w:rPr>
              <w:t>Dettaglio credi formativi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14:paraId="55042606" w14:textId="77777777" w:rsidR="00050138" w:rsidRPr="002335D2" w:rsidRDefault="00050138" w:rsidP="005E6426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Ambito disciplinare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14:paraId="1B339823" w14:textId="77777777" w:rsidR="00050138" w:rsidRPr="002335D2" w:rsidRDefault="00050138" w:rsidP="005E6426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14:paraId="25603608" w14:textId="77777777" w:rsidR="00050138" w:rsidRPr="002335D2" w:rsidRDefault="00050138" w:rsidP="005E6426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Crediti</w:t>
            </w:r>
          </w:p>
        </w:tc>
      </w:tr>
      <w:tr w:rsidR="00050138" w:rsidRPr="002335D2" w14:paraId="660EDFA3" w14:textId="77777777" w:rsidTr="00E2145B"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2C803513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14:paraId="4D80D6AB" w14:textId="77777777" w:rsidR="00050138" w:rsidRPr="002335D2" w:rsidRDefault="004B147B" w:rsidP="005E6426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Storia della Filosofia Medievale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14:paraId="62B843DF" w14:textId="77777777" w:rsidR="00050138" w:rsidRPr="002335D2" w:rsidRDefault="0014024D" w:rsidP="005E6426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M-FIL/08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14:paraId="5210B57A" w14:textId="77777777" w:rsidR="00050138" w:rsidRPr="002335D2" w:rsidRDefault="00FA52F0" w:rsidP="005E6426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</w:p>
        </w:tc>
      </w:tr>
      <w:tr w:rsidR="00050138" w:rsidRPr="002335D2" w14:paraId="4C10F53B" w14:textId="77777777" w:rsidTr="00E2145B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A653A5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E3BC33" w14:textId="77777777" w:rsidR="00050138" w:rsidRPr="002335D2" w:rsidRDefault="00050138" w:rsidP="005E6426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B7F9E0" w14:textId="77777777" w:rsidR="00050138" w:rsidRPr="002335D2" w:rsidRDefault="00050138" w:rsidP="005E6426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F9B7E8" w14:textId="77777777" w:rsidR="00050138" w:rsidRPr="002335D2" w:rsidRDefault="00050138" w:rsidP="005E6426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0138" w:rsidRPr="002335D2" w14:paraId="5B8CFB53" w14:textId="77777777" w:rsidTr="00E2145B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419CC0E0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335D2">
              <w:rPr>
                <w:rFonts w:ascii="Gill Sans MT" w:hAnsi="Gill Sans MT"/>
                <w:b/>
                <w:sz w:val="24"/>
                <w:szCs w:val="24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5A023DF" w14:textId="77777777" w:rsidR="00050138" w:rsidRPr="002335D2" w:rsidRDefault="00050138" w:rsidP="005E6426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0138" w:rsidRPr="002335D2" w14:paraId="7A48456F" w14:textId="77777777" w:rsidTr="00E2145B">
        <w:tc>
          <w:tcPr>
            <w:tcW w:w="4077" w:type="dxa"/>
            <w:shd w:val="clear" w:color="auto" w:fill="auto"/>
          </w:tcPr>
          <w:p w14:paraId="4A928CC6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732F57CD" w14:textId="77777777" w:rsidR="00050138" w:rsidRPr="002335D2" w:rsidRDefault="002A2030" w:rsidP="005E6426">
            <w:pPr>
              <w:spacing w:after="0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2335D2">
              <w:rPr>
                <w:rFonts w:ascii="Gill Sans MT" w:hAnsi="Gill Sans MT"/>
                <w:sz w:val="24"/>
                <w:szCs w:val="24"/>
              </w:rPr>
              <w:t>I semestre</w:t>
            </w:r>
            <w:proofErr w:type="gramEnd"/>
            <w:r w:rsidRPr="002335D2">
              <w:rPr>
                <w:rFonts w:ascii="Gill Sans MT" w:hAnsi="Gill Sans MT"/>
                <w:sz w:val="24"/>
                <w:szCs w:val="24"/>
              </w:rPr>
              <w:t xml:space="preserve"> 2018/19</w:t>
            </w:r>
          </w:p>
        </w:tc>
      </w:tr>
      <w:tr w:rsidR="00050138" w:rsidRPr="002335D2" w14:paraId="4A32C937" w14:textId="77777777" w:rsidTr="00E2145B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419CBE2B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38416D" w14:textId="77777777" w:rsidR="00050138" w:rsidRPr="002335D2" w:rsidRDefault="00303BE3" w:rsidP="005E6426">
            <w:pPr>
              <w:spacing w:after="0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2018/2019</w:t>
            </w:r>
          </w:p>
        </w:tc>
      </w:tr>
      <w:tr w:rsidR="00050138" w:rsidRPr="002335D2" w14:paraId="4D0A1945" w14:textId="77777777" w:rsidTr="00E2145B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95E1BEC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61F783" w14:textId="77777777" w:rsidR="00246829" w:rsidRDefault="00246829" w:rsidP="005E6426">
            <w:pPr>
              <w:pStyle w:val="NormaleWeb"/>
              <w:widowControl w:val="0"/>
              <w:adjustRightInd w:val="0"/>
              <w:spacing w:before="0" w:beforeAutospacing="0" w:after="0" w:afterAutospacing="0"/>
              <w:rPr>
                <w:rFonts w:ascii="Gill Sans MT" w:hAnsi="Gill Sans MT"/>
              </w:rPr>
            </w:pPr>
          </w:p>
          <w:p w14:paraId="2B614112" w14:textId="77777777" w:rsidR="00050138" w:rsidRPr="00303BE3" w:rsidRDefault="00303BE3" w:rsidP="005E6426">
            <w:pPr>
              <w:pStyle w:val="NormaleWeb"/>
              <w:widowControl w:val="0"/>
              <w:adjustRightInd w:val="0"/>
              <w:spacing w:before="0" w:beforeAutospacing="0" w:after="0" w:afterAutospacing="0"/>
              <w:rPr>
                <w:rFonts w:ascii="Gill Sans MT" w:hAnsi="Gill Sans MT"/>
                <w:highlight w:val="magenta"/>
              </w:rPr>
            </w:pPr>
            <w:r w:rsidRPr="00303BE3">
              <w:rPr>
                <w:rFonts w:ascii="Gill Sans MT" w:hAnsi="Gill Sans MT"/>
              </w:rPr>
              <w:t>Didattica frontale</w:t>
            </w:r>
          </w:p>
        </w:tc>
      </w:tr>
      <w:tr w:rsidR="00176F96" w:rsidRPr="002335D2" w14:paraId="298F76E7" w14:textId="77777777" w:rsidTr="00E2145B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83BB8" w14:textId="77777777" w:rsidR="00176F96" w:rsidRPr="002335D2" w:rsidRDefault="00176F96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7B88A" w14:textId="77777777" w:rsidR="00176F96" w:rsidRPr="002335D2" w:rsidRDefault="00176F96" w:rsidP="005E6426">
            <w:pPr>
              <w:spacing w:after="0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0138" w:rsidRPr="002335D2" w14:paraId="4EADEB66" w14:textId="77777777" w:rsidTr="00E2145B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7FD13DA0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335D2">
              <w:rPr>
                <w:rFonts w:ascii="Gill Sans MT" w:hAnsi="Gill Sans MT"/>
                <w:b/>
                <w:sz w:val="24"/>
                <w:szCs w:val="24"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362ECB" w14:textId="77777777" w:rsidR="00050138" w:rsidRPr="002335D2" w:rsidRDefault="00050138" w:rsidP="005E6426">
            <w:pPr>
              <w:spacing w:after="0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0138" w:rsidRPr="002335D2" w14:paraId="685EA9BB" w14:textId="77777777" w:rsidTr="00E2145B">
        <w:tc>
          <w:tcPr>
            <w:tcW w:w="4077" w:type="dxa"/>
            <w:shd w:val="clear" w:color="auto" w:fill="auto"/>
          </w:tcPr>
          <w:p w14:paraId="012C971A" w14:textId="77777777" w:rsidR="00050138" w:rsidRPr="002335D2" w:rsidRDefault="002F1C56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Ore 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26AD7B44" w14:textId="0424D098" w:rsidR="00050138" w:rsidRPr="002335D2" w:rsidRDefault="008E043B" w:rsidP="005E6426">
            <w:pPr>
              <w:spacing w:after="0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42</w:t>
            </w:r>
          </w:p>
        </w:tc>
      </w:tr>
      <w:tr w:rsidR="00050138" w:rsidRPr="002335D2" w14:paraId="39E046AF" w14:textId="77777777" w:rsidTr="00E2145B">
        <w:tc>
          <w:tcPr>
            <w:tcW w:w="4077" w:type="dxa"/>
            <w:shd w:val="clear" w:color="auto" w:fill="auto"/>
          </w:tcPr>
          <w:p w14:paraId="12A261F6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7A94CF43" w14:textId="1363133D" w:rsidR="00050138" w:rsidRPr="002335D2" w:rsidRDefault="008E043B" w:rsidP="005E6426">
            <w:pPr>
              <w:spacing w:after="0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42</w:t>
            </w:r>
          </w:p>
        </w:tc>
      </w:tr>
      <w:tr w:rsidR="00050138" w:rsidRPr="002335D2" w14:paraId="65D8A9F1" w14:textId="77777777" w:rsidTr="00E2145B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6C047F76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39AD48C" w14:textId="77777777" w:rsidR="00050138" w:rsidRPr="002335D2" w:rsidRDefault="00050138" w:rsidP="005E6426">
            <w:pPr>
              <w:spacing w:after="0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0138" w:rsidRPr="002335D2" w14:paraId="323AD092" w14:textId="77777777" w:rsidTr="00E2145B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FC6D66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DBCA5" w14:textId="77777777" w:rsidR="00050138" w:rsidRPr="002335D2" w:rsidRDefault="00050138" w:rsidP="005E6426">
            <w:pPr>
              <w:spacing w:after="0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0138" w:rsidRPr="002335D2" w14:paraId="047C4159" w14:textId="77777777" w:rsidTr="00E2145B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15604796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335D2">
              <w:rPr>
                <w:rFonts w:ascii="Gill Sans MT" w:hAnsi="Gill Sans MT"/>
                <w:b/>
                <w:sz w:val="24"/>
                <w:szCs w:val="24"/>
              </w:rPr>
              <w:t>C</w:t>
            </w:r>
            <w:r w:rsidRPr="002335D2">
              <w:rPr>
                <w:rFonts w:ascii="Gill Sans MT" w:hAnsi="Gill Sans MT"/>
                <w:b/>
                <w:sz w:val="24"/>
                <w:szCs w:val="24"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9A6F11A" w14:textId="77777777" w:rsidR="00050138" w:rsidRPr="002335D2" w:rsidRDefault="00050138" w:rsidP="005E6426">
            <w:pPr>
              <w:spacing w:after="0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0138" w:rsidRPr="002335D2" w14:paraId="72D9036B" w14:textId="77777777" w:rsidTr="00E2145B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2DE3B113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0CF328" w14:textId="77777777" w:rsidR="00050138" w:rsidRPr="002335D2" w:rsidRDefault="00050138" w:rsidP="005E6426">
            <w:pPr>
              <w:spacing w:after="0"/>
              <w:jc w:val="both"/>
              <w:rPr>
                <w:rFonts w:ascii="Gill Sans MT" w:hAnsi="Gill Sans MT"/>
                <w:sz w:val="24"/>
                <w:szCs w:val="24"/>
                <w:highlight w:val="red"/>
              </w:rPr>
            </w:pPr>
            <w:r w:rsidRPr="002335D2">
              <w:rPr>
                <w:rFonts w:ascii="Gill Sans MT" w:hAnsi="Gill Sans MT"/>
                <w:sz w:val="24"/>
                <w:szCs w:val="24"/>
                <w:highlight w:val="red"/>
              </w:rPr>
              <w:t>Inseri</w:t>
            </w:r>
            <w:r w:rsidR="007E1EE2" w:rsidRPr="002335D2">
              <w:rPr>
                <w:rFonts w:ascii="Gill Sans MT" w:hAnsi="Gill Sans MT"/>
                <w:sz w:val="24"/>
                <w:szCs w:val="24"/>
                <w:highlight w:val="red"/>
              </w:rPr>
              <w:t>sc</w:t>
            </w:r>
            <w:r w:rsidRPr="002335D2">
              <w:rPr>
                <w:rFonts w:ascii="Gill Sans MT" w:hAnsi="Gill Sans MT"/>
                <w:sz w:val="24"/>
                <w:szCs w:val="24"/>
                <w:highlight w:val="red"/>
              </w:rPr>
              <w:t>e segreteria</w:t>
            </w:r>
          </w:p>
        </w:tc>
      </w:tr>
      <w:tr w:rsidR="00050138" w:rsidRPr="002335D2" w14:paraId="360C14B2" w14:textId="77777777" w:rsidTr="00E2145B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A65216D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C00852" w14:textId="77777777" w:rsidR="00050138" w:rsidRPr="002335D2" w:rsidRDefault="007E1EE2" w:rsidP="005E6426">
            <w:pPr>
              <w:spacing w:after="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  <w:highlight w:val="red"/>
              </w:rPr>
              <w:t>Inserisce segreteria</w:t>
            </w:r>
          </w:p>
        </w:tc>
      </w:tr>
      <w:tr w:rsidR="00050138" w:rsidRPr="002335D2" w14:paraId="7E442647" w14:textId="77777777" w:rsidTr="00E2145B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2C184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6980F" w14:textId="77777777" w:rsidR="00050138" w:rsidRPr="002335D2" w:rsidRDefault="00050138" w:rsidP="005E6426">
            <w:pPr>
              <w:spacing w:after="0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0138" w:rsidRPr="002335D2" w14:paraId="3FE6CDA8" w14:textId="77777777" w:rsidTr="00E2145B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177D5FCA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proofErr w:type="spellStart"/>
            <w:r w:rsidRPr="002335D2">
              <w:rPr>
                <w:rFonts w:ascii="Gill Sans MT" w:hAnsi="Gill Sans MT"/>
                <w:b/>
                <w:sz w:val="24"/>
                <w:szCs w:val="24"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D094BC" w14:textId="77777777" w:rsidR="00050138" w:rsidRPr="002335D2" w:rsidRDefault="00050138" w:rsidP="005E6426">
            <w:pPr>
              <w:spacing w:after="0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A3509" w:rsidRPr="002335D2" w14:paraId="3D763FD0" w14:textId="77777777" w:rsidTr="00E2145B">
        <w:trPr>
          <w:trHeight w:val="315"/>
        </w:trPr>
        <w:tc>
          <w:tcPr>
            <w:tcW w:w="4077" w:type="dxa"/>
            <w:vMerge w:val="restart"/>
            <w:shd w:val="clear" w:color="auto" w:fill="FFFFFF"/>
          </w:tcPr>
          <w:p w14:paraId="146C8C50" w14:textId="77777777" w:rsidR="00DA3509" w:rsidRPr="002335D2" w:rsidRDefault="00DA3509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Prerequisiti</w:t>
            </w:r>
          </w:p>
        </w:tc>
        <w:tc>
          <w:tcPr>
            <w:tcW w:w="576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8A38" w14:textId="77777777" w:rsidR="00DA3509" w:rsidRPr="002335D2" w:rsidRDefault="00DA3509" w:rsidP="005E6426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Nessuno</w:t>
            </w:r>
          </w:p>
        </w:tc>
      </w:tr>
      <w:tr w:rsidR="00DA3509" w:rsidRPr="002335D2" w14:paraId="6E977CFF" w14:textId="77777777" w:rsidTr="00E2145B">
        <w:tc>
          <w:tcPr>
            <w:tcW w:w="4077" w:type="dxa"/>
            <w:vMerge/>
            <w:shd w:val="clear" w:color="auto" w:fill="FFFFFF"/>
          </w:tcPr>
          <w:p w14:paraId="7C7AF49D" w14:textId="77777777" w:rsidR="00DA3509" w:rsidRPr="002335D2" w:rsidRDefault="00DA3509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71403" w14:textId="77777777" w:rsidR="00DA3509" w:rsidRPr="002335D2" w:rsidRDefault="00DA3509" w:rsidP="005E6426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0138" w:rsidRPr="002335D2" w14:paraId="05CD50BF" w14:textId="77777777" w:rsidTr="00E2145B">
        <w:trPr>
          <w:trHeight w:val="1453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FFFFFF"/>
          </w:tcPr>
          <w:p w14:paraId="44A32E89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lastRenderedPageBreak/>
              <w:t>Risultati di apprendimento previsti</w:t>
            </w:r>
          </w:p>
          <w:p w14:paraId="433D06D3" w14:textId="77777777" w:rsidR="007E1EE2" w:rsidRPr="002335D2" w:rsidRDefault="007E1EE2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73BAA51" w14:textId="77777777" w:rsidR="007E1EE2" w:rsidRPr="00296FBF" w:rsidRDefault="007E1EE2" w:rsidP="005E6426">
            <w:pPr>
              <w:pStyle w:val="NormaleWeb"/>
              <w:rPr>
                <w:rFonts w:ascii="Gill Sans MT" w:hAnsi="Gill Sans MT"/>
              </w:rPr>
            </w:pPr>
            <w:r w:rsidRPr="00296FBF">
              <w:rPr>
                <w:rFonts w:ascii="Gill Sans MT" w:hAnsi="Gill Sans MT"/>
                <w:i/>
                <w:iCs/>
              </w:rPr>
              <w:t>Conoscenza e capacità di comprensione</w:t>
            </w:r>
          </w:p>
          <w:p w14:paraId="67019AD9" w14:textId="28139C23" w:rsidR="00113C50" w:rsidRPr="00FF67C9" w:rsidRDefault="00113C50" w:rsidP="00FF67C9">
            <w:pPr>
              <w:spacing w:after="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FF67C9">
              <w:rPr>
                <w:rFonts w:ascii="Gill Sans MT" w:hAnsi="Gill Sans MT"/>
                <w:sz w:val="24"/>
                <w:szCs w:val="24"/>
              </w:rPr>
              <w:t xml:space="preserve">Attraverso una lettura critica dei testi in programma, gli studenti </w:t>
            </w:r>
            <w:r w:rsidR="00564E2D" w:rsidRPr="00FF67C9">
              <w:rPr>
                <w:rFonts w:ascii="Gill Sans MT" w:hAnsi="Gill Sans MT"/>
                <w:sz w:val="24"/>
                <w:szCs w:val="24"/>
              </w:rPr>
              <w:t>devono acquisire</w:t>
            </w:r>
            <w:r w:rsidRPr="00FF67C9">
              <w:rPr>
                <w:rFonts w:ascii="Gill Sans MT" w:hAnsi="Gill Sans MT"/>
                <w:sz w:val="24"/>
                <w:szCs w:val="24"/>
              </w:rPr>
              <w:t xml:space="preserve"> le conoscenze storico-f</w:t>
            </w:r>
            <w:r w:rsidR="00F52AE6">
              <w:rPr>
                <w:rFonts w:ascii="Gill Sans MT" w:hAnsi="Gill Sans MT"/>
                <w:sz w:val="24"/>
                <w:szCs w:val="24"/>
              </w:rPr>
              <w:t>ilosofiche dei fondament</w:t>
            </w:r>
            <w:r w:rsidRPr="00FF67C9">
              <w:rPr>
                <w:rFonts w:ascii="Gill Sans MT" w:hAnsi="Gill Sans MT"/>
                <w:sz w:val="24"/>
                <w:szCs w:val="24"/>
              </w:rPr>
              <w:t>i del pensiero arabo ed ebraico del Medioevo.</w:t>
            </w:r>
          </w:p>
          <w:p w14:paraId="439E643A" w14:textId="77777777" w:rsidR="007E1EE2" w:rsidRPr="00FF67C9" w:rsidRDefault="007E1EE2" w:rsidP="00FF67C9">
            <w:pPr>
              <w:pStyle w:val="NormaleWeb"/>
              <w:jc w:val="both"/>
              <w:rPr>
                <w:rFonts w:ascii="Gill Sans MT" w:hAnsi="Gill Sans MT"/>
              </w:rPr>
            </w:pPr>
            <w:r w:rsidRPr="00FF67C9">
              <w:rPr>
                <w:rFonts w:ascii="Gill Sans MT" w:hAnsi="Gill Sans MT"/>
                <w:i/>
                <w:iCs/>
              </w:rPr>
              <w:t>Conoscenza e capacità di comprensione applicate</w:t>
            </w:r>
          </w:p>
          <w:p w14:paraId="2E77E667" w14:textId="77777777" w:rsidR="00113C50" w:rsidRPr="00FF67C9" w:rsidRDefault="00113C50" w:rsidP="00FF67C9">
            <w:pPr>
              <w:pStyle w:val="NormaleWeb"/>
              <w:jc w:val="both"/>
              <w:rPr>
                <w:rFonts w:ascii="Gill Sans MT" w:hAnsi="Gill Sans MT"/>
              </w:rPr>
            </w:pPr>
            <w:r w:rsidRPr="00FF67C9">
              <w:rPr>
                <w:rFonts w:ascii="Gill Sans MT" w:hAnsi="Gill Sans MT"/>
              </w:rPr>
              <w:t xml:space="preserve">Gli studenti </w:t>
            </w:r>
            <w:r w:rsidR="00564E2D" w:rsidRPr="00FF67C9">
              <w:rPr>
                <w:rFonts w:ascii="Gill Sans MT" w:hAnsi="Gill Sans MT"/>
              </w:rPr>
              <w:t>devono acquisire</w:t>
            </w:r>
            <w:r w:rsidRPr="00FF67C9">
              <w:rPr>
                <w:rFonts w:ascii="Gill Sans MT" w:hAnsi="Gill Sans MT"/>
              </w:rPr>
              <w:t xml:space="preserve"> competenze atte alla formazione di una cultura critica che permetta loro di riconoscere le relazioni e gli scambi intercultu</w:t>
            </w:r>
            <w:r w:rsidR="00370B53" w:rsidRPr="00FF67C9">
              <w:rPr>
                <w:rFonts w:ascii="Gill Sans MT" w:hAnsi="Gill Sans MT"/>
              </w:rPr>
              <w:t>rali fra le diverse tradizioni, cogliendo l</w:t>
            </w:r>
            <w:r w:rsidR="00564E2D" w:rsidRPr="00FF67C9">
              <w:rPr>
                <w:rFonts w:ascii="Gill Sans MT" w:hAnsi="Gill Sans MT"/>
              </w:rPr>
              <w:t>e specificità di ognuna di esse; devono inoltre, acquisire un’adeguata conoscenza delle teorie elaborate nel Medioevo arabo ed ebraico sulle modalità di convivenza (o sopravvivenza) del filosofo nella propria città.</w:t>
            </w:r>
          </w:p>
          <w:p w14:paraId="48CED562" w14:textId="77777777" w:rsidR="007E1EE2" w:rsidRPr="00296FBF" w:rsidRDefault="007E1EE2" w:rsidP="005E6426">
            <w:pPr>
              <w:pStyle w:val="NormaleWeb"/>
              <w:rPr>
                <w:rFonts w:ascii="Gill Sans MT" w:hAnsi="Gill Sans MT"/>
              </w:rPr>
            </w:pPr>
            <w:r w:rsidRPr="00296FBF">
              <w:rPr>
                <w:rFonts w:ascii="Gill Sans MT" w:hAnsi="Gill Sans MT"/>
                <w:i/>
                <w:iCs/>
              </w:rPr>
              <w:t>Autonomia di giudizio</w:t>
            </w:r>
          </w:p>
          <w:p w14:paraId="41DCF3E2" w14:textId="77777777" w:rsidR="001F4EEB" w:rsidRPr="00296FBF" w:rsidRDefault="00370B53" w:rsidP="005E6426">
            <w:pPr>
              <w:pStyle w:val="NormaleWeb"/>
              <w:rPr>
                <w:rFonts w:ascii="Gill Sans MT" w:hAnsi="Gill Sans MT" w:cs="Arial"/>
                <w:color w:val="000000"/>
              </w:rPr>
            </w:pPr>
            <w:r w:rsidRPr="00296FBF">
              <w:rPr>
                <w:rFonts w:ascii="Gill Sans MT" w:hAnsi="Gill Sans MT" w:cs="Arial"/>
                <w:color w:val="000000"/>
              </w:rPr>
              <w:t>Gli studenti devono maturare autonomia nella capacità di giudizio, fino a padroneggiare in maniera critico-valutativa le questioni e collegarle agli sviluppi delle scienze dell’uomo</w:t>
            </w:r>
            <w:r w:rsidR="00AF5A7B" w:rsidRPr="00296FBF">
              <w:rPr>
                <w:rFonts w:ascii="Gill Sans MT" w:hAnsi="Gill Sans MT" w:cs="Arial"/>
                <w:color w:val="000000"/>
              </w:rPr>
              <w:t>.</w:t>
            </w:r>
          </w:p>
          <w:p w14:paraId="5484F26D" w14:textId="77777777" w:rsidR="007E1EE2" w:rsidRPr="00296FBF" w:rsidRDefault="00370B53" w:rsidP="005E6426">
            <w:pPr>
              <w:pStyle w:val="NormaleWeb"/>
              <w:rPr>
                <w:rFonts w:ascii="Gill Sans MT" w:hAnsi="Gill Sans MT"/>
              </w:rPr>
            </w:pPr>
            <w:r w:rsidRPr="00296FBF">
              <w:rPr>
                <w:rFonts w:ascii="Gill Sans MT" w:hAnsi="Gill Sans MT"/>
                <w:i/>
                <w:iCs/>
              </w:rPr>
              <w:t xml:space="preserve"> </w:t>
            </w:r>
            <w:r w:rsidR="007E1EE2" w:rsidRPr="00296FBF">
              <w:rPr>
                <w:rFonts w:ascii="Gill Sans MT" w:hAnsi="Gill Sans MT"/>
                <w:i/>
                <w:iCs/>
              </w:rPr>
              <w:t>Abilità comunicative</w:t>
            </w:r>
          </w:p>
          <w:p w14:paraId="0B552AD3" w14:textId="77777777" w:rsidR="001F4EEB" w:rsidRPr="00296FBF" w:rsidRDefault="001F4EEB" w:rsidP="005E6426">
            <w:pPr>
              <w:spacing w:after="0"/>
              <w:ind w:left="2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96FBF">
              <w:rPr>
                <w:rFonts w:ascii="Gill Sans MT" w:hAnsi="Gill Sans MT"/>
                <w:sz w:val="24"/>
                <w:szCs w:val="24"/>
              </w:rPr>
              <w:t xml:space="preserve">Gli studenti devono argomentare efficacemente </w:t>
            </w:r>
            <w:r w:rsidR="00DE4459" w:rsidRPr="00296FBF">
              <w:rPr>
                <w:rFonts w:ascii="Gill Sans MT" w:hAnsi="Gill Sans MT"/>
                <w:sz w:val="24"/>
                <w:szCs w:val="24"/>
              </w:rPr>
              <w:t xml:space="preserve">le questioni </w:t>
            </w:r>
            <w:r w:rsidRPr="00296FBF">
              <w:rPr>
                <w:rFonts w:ascii="Gill Sans MT" w:hAnsi="Gill Sans MT"/>
                <w:sz w:val="24"/>
                <w:szCs w:val="24"/>
              </w:rPr>
              <w:t>in forma orale, dimostrando una solida capacità di elaborazione delle proprie risposte; devono inoltre dimostrare di utilizzare efficacemente almeno un’altra lingua dell’Unione Europea.</w:t>
            </w:r>
          </w:p>
          <w:p w14:paraId="5D58915B" w14:textId="77777777" w:rsidR="007E1EE2" w:rsidRPr="00296FBF" w:rsidRDefault="007E1EE2" w:rsidP="005E6426">
            <w:pPr>
              <w:pStyle w:val="NormaleWeb"/>
              <w:rPr>
                <w:rFonts w:ascii="Gill Sans MT" w:hAnsi="Gill Sans MT"/>
              </w:rPr>
            </w:pPr>
            <w:r w:rsidRPr="00296FBF">
              <w:rPr>
                <w:rFonts w:ascii="Gill Sans MT" w:hAnsi="Gill Sans MT"/>
                <w:i/>
                <w:iCs/>
              </w:rPr>
              <w:t>Capacità di apprendere</w:t>
            </w:r>
          </w:p>
          <w:p w14:paraId="29CD2C72" w14:textId="77777777" w:rsidR="006F0D12" w:rsidRPr="00296FBF" w:rsidRDefault="003C6EFA" w:rsidP="005E6426">
            <w:pPr>
              <w:pStyle w:val="Grigliamedia1-Colore21"/>
              <w:spacing w:after="0"/>
              <w:ind w:left="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96FBF">
              <w:rPr>
                <w:rFonts w:ascii="Gill Sans MT" w:hAnsi="Gill Sans MT"/>
                <w:sz w:val="24"/>
                <w:szCs w:val="24"/>
              </w:rPr>
              <w:t xml:space="preserve">Gli studenti acquisiranno competenze utili all’elaborazione, all’analisi e alla comunicazione di testi (tradizionali e multimediali), con particolare riferimento alla storia della filosofia araba ed ebraica del Medioevo; </w:t>
            </w:r>
            <w:r w:rsidR="006F0D12" w:rsidRPr="00296FBF">
              <w:rPr>
                <w:rFonts w:ascii="Gill Sans MT" w:hAnsi="Gill Sans MT"/>
                <w:sz w:val="24"/>
                <w:szCs w:val="24"/>
              </w:rPr>
              <w:t>acquisiranno, al contempo,</w:t>
            </w:r>
            <w:r w:rsidRPr="00296FBF">
              <w:rPr>
                <w:rFonts w:ascii="Gill Sans MT" w:hAnsi="Gill Sans MT"/>
                <w:sz w:val="24"/>
                <w:szCs w:val="24"/>
              </w:rPr>
              <w:t xml:space="preserve"> le competenze necessarie per accedere alle lauree specialistiche di orientamento affine.</w:t>
            </w:r>
          </w:p>
          <w:p w14:paraId="3F2EE9D4" w14:textId="77777777" w:rsidR="002A2030" w:rsidRPr="00296FBF" w:rsidRDefault="002A2030" w:rsidP="005E6426">
            <w:pPr>
              <w:pStyle w:val="Grigliamedia1-Colore21"/>
              <w:spacing w:after="0"/>
              <w:ind w:left="0"/>
              <w:jc w:val="both"/>
              <w:rPr>
                <w:rFonts w:ascii="Gill Sans MT" w:hAnsi="Gill Sans MT"/>
                <w:i/>
                <w:sz w:val="24"/>
                <w:szCs w:val="24"/>
              </w:rPr>
            </w:pPr>
          </w:p>
        </w:tc>
      </w:tr>
      <w:tr w:rsidR="00050138" w:rsidRPr="002335D2" w14:paraId="582684F5" w14:textId="77777777" w:rsidTr="00E2145B">
        <w:trPr>
          <w:trHeight w:val="7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309F63FD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CBA804" w14:textId="77777777" w:rsidR="00897178" w:rsidRPr="00296FBF" w:rsidRDefault="00F449A2" w:rsidP="005E6426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96FBF">
              <w:rPr>
                <w:rFonts w:ascii="Gill Sans MT" w:hAnsi="Gill Sans MT"/>
                <w:sz w:val="24"/>
                <w:szCs w:val="24"/>
              </w:rPr>
              <w:t>“</w:t>
            </w:r>
            <w:r w:rsidR="004979C8" w:rsidRPr="00296FBF">
              <w:rPr>
                <w:rFonts w:ascii="Gill Sans MT" w:hAnsi="Gill Sans MT"/>
                <w:sz w:val="24"/>
                <w:szCs w:val="24"/>
              </w:rPr>
              <w:t>La città e la figura spaesante del filosofo</w:t>
            </w:r>
            <w:r w:rsidRPr="00296FBF">
              <w:rPr>
                <w:rFonts w:ascii="Gill Sans MT" w:hAnsi="Gill Sans MT"/>
                <w:sz w:val="24"/>
                <w:szCs w:val="24"/>
              </w:rPr>
              <w:t xml:space="preserve">: modelli </w:t>
            </w:r>
            <w:r w:rsidR="00652284">
              <w:rPr>
                <w:rFonts w:ascii="Gill Sans MT" w:hAnsi="Gill Sans MT"/>
                <w:sz w:val="24"/>
                <w:szCs w:val="24"/>
              </w:rPr>
              <w:t>d</w:t>
            </w:r>
            <w:r w:rsidR="004979C8" w:rsidRPr="00296FBF">
              <w:rPr>
                <w:rFonts w:ascii="Gill Sans MT" w:hAnsi="Gill Sans MT"/>
                <w:sz w:val="24"/>
                <w:szCs w:val="24"/>
              </w:rPr>
              <w:t>el Medioevo arabo ed ebraico</w:t>
            </w:r>
            <w:r w:rsidR="00652284">
              <w:rPr>
                <w:rFonts w:ascii="Gill Sans MT" w:hAnsi="Gill Sans MT"/>
                <w:sz w:val="24"/>
                <w:szCs w:val="24"/>
              </w:rPr>
              <w:t xml:space="preserve"> a confronto</w:t>
            </w:r>
            <w:r w:rsidRPr="00296FBF">
              <w:rPr>
                <w:rFonts w:ascii="Gill Sans MT" w:hAnsi="Gill Sans MT"/>
                <w:sz w:val="24"/>
                <w:szCs w:val="24"/>
              </w:rPr>
              <w:t>”</w:t>
            </w:r>
            <w:r w:rsidR="004979C8" w:rsidRPr="00296FBF">
              <w:rPr>
                <w:rFonts w:ascii="Gill Sans MT" w:hAnsi="Gill Sans MT"/>
                <w:sz w:val="24"/>
                <w:szCs w:val="24"/>
              </w:rPr>
              <w:t>.</w:t>
            </w:r>
            <w:r w:rsidR="00897178" w:rsidRPr="00296FBF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38F989C1" w14:textId="77777777" w:rsidR="00050138" w:rsidRPr="00296FBF" w:rsidRDefault="00897178" w:rsidP="005E6426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96FBF">
              <w:rPr>
                <w:rFonts w:ascii="Gill Sans MT" w:hAnsi="Gill Sans MT"/>
                <w:sz w:val="24"/>
                <w:szCs w:val="24"/>
              </w:rPr>
              <w:t xml:space="preserve">L’insegnamento si propone di offrire agli studenti una ricognizione sufficientemente dettagliata degli autori del Medioevo arabo ed ebraico che contribuiscono in maniera più significativa a definire il rapporto tutt’altro che pacifico fra il filosofo e la città di appartenenza. </w:t>
            </w:r>
          </w:p>
        </w:tc>
      </w:tr>
      <w:tr w:rsidR="00050138" w:rsidRPr="002335D2" w14:paraId="1ABF8226" w14:textId="77777777" w:rsidTr="00E2145B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8C78EA8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B8B332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0138" w:rsidRPr="002335D2" w14:paraId="42C4CDB8" w14:textId="77777777" w:rsidTr="00E2145B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3FF09E62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335D2">
              <w:rPr>
                <w:rFonts w:ascii="Gill Sans MT" w:hAnsi="Gill Sans MT"/>
                <w:b/>
                <w:sz w:val="24"/>
                <w:szCs w:val="24"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CF8E062" w14:textId="77777777" w:rsidR="00050138" w:rsidRPr="002335D2" w:rsidRDefault="0080057F" w:rsidP="00CB488C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Passi scelti da ‘Le opinioni degli abitanti della città virtuosa’ di al-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Farabi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; ‘Il regime del solitario’ di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Avempace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; </w:t>
            </w:r>
            <w:r w:rsidR="00CB488C">
              <w:rPr>
                <w:rFonts w:ascii="Gill Sans MT" w:hAnsi="Gill Sans MT"/>
                <w:sz w:val="24"/>
                <w:szCs w:val="24"/>
              </w:rPr>
              <w:t xml:space="preserve">‘Il trattato decisivo sull’accordo fra filosofia </w:t>
            </w:r>
            <w:proofErr w:type="gramStart"/>
            <w:r w:rsidR="00CB488C">
              <w:rPr>
                <w:rFonts w:ascii="Gill Sans MT" w:hAnsi="Gill Sans MT"/>
                <w:sz w:val="24"/>
                <w:szCs w:val="24"/>
              </w:rPr>
              <w:t xml:space="preserve">e </w:t>
            </w:r>
            <w:r>
              <w:rPr>
                <w:rFonts w:ascii="Gill Sans MT" w:hAnsi="Gill Sans MT"/>
                <w:sz w:val="24"/>
                <w:szCs w:val="24"/>
              </w:rPr>
              <w:t>‘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La guida dei perplessi’ di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Maimonide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</w:tc>
      </w:tr>
      <w:tr w:rsidR="00050138" w:rsidRPr="002335D2" w14:paraId="2152380E" w14:textId="77777777" w:rsidTr="00E2145B">
        <w:trPr>
          <w:gridAfter w:val="3"/>
          <w:wAfter w:w="5763" w:type="dxa"/>
          <w:trHeight w:val="70"/>
        </w:trPr>
        <w:tc>
          <w:tcPr>
            <w:tcW w:w="4077" w:type="dxa"/>
            <w:shd w:val="clear" w:color="auto" w:fill="FFFFFF"/>
          </w:tcPr>
          <w:p w14:paraId="1314D594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Testi di riferimento</w:t>
            </w:r>
          </w:p>
        </w:tc>
      </w:tr>
      <w:tr w:rsidR="00050138" w:rsidRPr="002335D2" w14:paraId="1E70EB22" w14:textId="77777777" w:rsidTr="00E2145B">
        <w:trPr>
          <w:trHeight w:val="70"/>
        </w:trPr>
        <w:tc>
          <w:tcPr>
            <w:tcW w:w="4077" w:type="dxa"/>
            <w:shd w:val="clear" w:color="auto" w:fill="FFFFFF"/>
          </w:tcPr>
          <w:p w14:paraId="6A3D27C8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472C146C" w14:textId="77777777" w:rsidR="005E6426" w:rsidRPr="005E6426" w:rsidRDefault="005E6426" w:rsidP="005E6426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E6426">
              <w:rPr>
                <w:rFonts w:ascii="Gill Sans MT" w:hAnsi="Gill Sans MT"/>
                <w:sz w:val="24"/>
                <w:szCs w:val="24"/>
              </w:rPr>
              <w:t>Bibliografia aggiuntiva per studenti non frequentanti</w:t>
            </w:r>
            <w:r w:rsidRPr="005E6426">
              <w:rPr>
                <w:rFonts w:ascii="Gill Sans MT" w:hAnsi="Gill Sans MT"/>
                <w:color w:val="1F497D"/>
                <w:sz w:val="24"/>
                <w:szCs w:val="24"/>
              </w:rPr>
              <w:t xml:space="preserve"> </w:t>
            </w:r>
            <w:r w:rsidRPr="005E6426">
              <w:rPr>
                <w:rFonts w:ascii="Gill Sans MT" w:hAnsi="Gill Sans MT"/>
                <w:sz w:val="24"/>
                <w:szCs w:val="24"/>
              </w:rPr>
              <w:t>(in possesso dell’attestato di studente non frequentante rilasciato dal Coordinatore del Corso di laurea, come indicato nel Regolamento didattico del corso) da concordare con il docente.</w:t>
            </w:r>
          </w:p>
          <w:p w14:paraId="01185B3D" w14:textId="77777777" w:rsidR="00050138" w:rsidRPr="002335D2" w:rsidRDefault="00050138" w:rsidP="005E6426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0138" w:rsidRPr="002335D2" w14:paraId="26861D36" w14:textId="77777777" w:rsidTr="00E2145B">
        <w:trPr>
          <w:trHeight w:val="70"/>
        </w:trPr>
        <w:tc>
          <w:tcPr>
            <w:tcW w:w="4077" w:type="dxa"/>
            <w:shd w:val="clear" w:color="auto" w:fill="FFFFFF"/>
          </w:tcPr>
          <w:p w14:paraId="6CF94520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Metodi didattici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31DDD6CC" w14:textId="77777777" w:rsidR="00050138" w:rsidRPr="002335D2" w:rsidRDefault="002A2030" w:rsidP="005E6426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 xml:space="preserve">L’organizzazione del corso prevede lezioni frontali, proiezione di materiale </w:t>
            </w:r>
            <w:proofErr w:type="spellStart"/>
            <w:proofErr w:type="gramStart"/>
            <w:r w:rsidRPr="002335D2">
              <w:rPr>
                <w:rFonts w:ascii="Gill Sans MT" w:hAnsi="Gill Sans MT"/>
                <w:sz w:val="24"/>
                <w:szCs w:val="24"/>
              </w:rPr>
              <w:t>multimediale,incontri</w:t>
            </w:r>
            <w:proofErr w:type="spellEnd"/>
            <w:proofErr w:type="gramEnd"/>
            <w:r w:rsidRPr="002335D2">
              <w:rPr>
                <w:rFonts w:ascii="Gill Sans MT" w:hAnsi="Gill Sans MT"/>
                <w:sz w:val="24"/>
                <w:szCs w:val="24"/>
              </w:rPr>
              <w:t xml:space="preserve"> seminariali di approfondimento, con eventuale supporto di esperti nel settore, laboratori di </w:t>
            </w:r>
            <w:proofErr w:type="spellStart"/>
            <w:r w:rsidRPr="002335D2">
              <w:rPr>
                <w:rFonts w:ascii="Gill Sans MT" w:hAnsi="Gill Sans MT"/>
                <w:sz w:val="24"/>
                <w:szCs w:val="24"/>
              </w:rPr>
              <w:t>discussionedi</w:t>
            </w:r>
            <w:proofErr w:type="spellEnd"/>
            <w:r w:rsidRPr="002335D2">
              <w:rPr>
                <w:rFonts w:ascii="Gill Sans MT" w:hAnsi="Gill Sans MT"/>
                <w:sz w:val="24"/>
                <w:szCs w:val="24"/>
              </w:rPr>
              <w:t xml:space="preserve"> casi di studio</w:t>
            </w:r>
          </w:p>
        </w:tc>
      </w:tr>
      <w:tr w:rsidR="00050138" w:rsidRPr="002335D2" w14:paraId="3416290B" w14:textId="77777777" w:rsidTr="00E2145B">
        <w:trPr>
          <w:trHeight w:val="70"/>
        </w:trPr>
        <w:tc>
          <w:tcPr>
            <w:tcW w:w="4077" w:type="dxa"/>
            <w:shd w:val="clear" w:color="auto" w:fill="FFFFFF"/>
          </w:tcPr>
          <w:p w14:paraId="021B76F0" w14:textId="77777777" w:rsidR="00050138" w:rsidRPr="002335D2" w:rsidRDefault="00050138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Metodi di valutazione</w:t>
            </w:r>
            <w:r w:rsidR="0006054A" w:rsidRPr="002335D2">
              <w:rPr>
                <w:rFonts w:ascii="Gill Sans MT" w:hAnsi="Gill Sans MT"/>
                <w:sz w:val="24"/>
                <w:szCs w:val="24"/>
              </w:rPr>
              <w:t xml:space="preserve"> (</w:t>
            </w:r>
            <w:r w:rsidR="008247DE" w:rsidRPr="002335D2">
              <w:rPr>
                <w:rFonts w:ascii="Gill Sans MT" w:hAnsi="Gill Sans MT"/>
                <w:sz w:val="24"/>
                <w:szCs w:val="24"/>
              </w:rPr>
              <w:t xml:space="preserve">indicare almeno la tipologia </w:t>
            </w:r>
            <w:r w:rsidR="0006054A" w:rsidRPr="002335D2">
              <w:rPr>
                <w:rFonts w:ascii="Gill Sans MT" w:hAnsi="Gill Sans MT"/>
                <w:sz w:val="24"/>
                <w:szCs w:val="24"/>
              </w:rPr>
              <w:t>scritto, orale, altro)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72AE9240" w14:textId="77777777" w:rsidR="002A2030" w:rsidRPr="002335D2" w:rsidRDefault="002A2030" w:rsidP="005E6426">
            <w:pPr>
              <w:pStyle w:val="NormaleWeb"/>
              <w:rPr>
                <w:rFonts w:ascii="Gill Sans MT" w:hAnsi="Gill Sans MT" w:cs="DejaVuSans"/>
              </w:rPr>
            </w:pPr>
            <w:r w:rsidRPr="002335D2">
              <w:rPr>
                <w:rFonts w:ascii="Gill Sans MT" w:hAnsi="Gill Sans MT" w:cs="DejaVuSans"/>
              </w:rPr>
              <w:t>L’esame si svolge attraverso un colloquio orale sui contenuti del programma effettivamente svolto, attraverso il quale sarà valutata la preparazione individuale</w:t>
            </w:r>
          </w:p>
          <w:p w14:paraId="2E2DA2E1" w14:textId="77777777" w:rsidR="002A2030" w:rsidRPr="002335D2" w:rsidRDefault="002A2030" w:rsidP="005E6426">
            <w:pPr>
              <w:pStyle w:val="NormaleWeb"/>
              <w:rPr>
                <w:rFonts w:ascii="Gill Sans MT" w:hAnsi="Gill Sans MT" w:cs="DejaVuSans"/>
              </w:rPr>
            </w:pPr>
            <w:r w:rsidRPr="002335D2">
              <w:rPr>
                <w:rFonts w:ascii="Gill Sans MT" w:hAnsi="Gill Sans MT" w:cs="DejaVuSans"/>
              </w:rPr>
              <w:t xml:space="preserve">Il calendario degli esami è pubblicato su Esse3 e sul sito del </w:t>
            </w:r>
            <w:proofErr w:type="spellStart"/>
            <w:r w:rsidRPr="002335D2">
              <w:rPr>
                <w:rFonts w:ascii="Gill Sans MT" w:hAnsi="Gill Sans MT" w:cs="DejaVuSans"/>
              </w:rPr>
              <w:t>CdS</w:t>
            </w:r>
            <w:proofErr w:type="spellEnd"/>
            <w:r w:rsidRPr="002335D2">
              <w:rPr>
                <w:rFonts w:ascii="Gill Sans MT" w:hAnsi="Gill Sans MT" w:cs="DejaVuSans"/>
              </w:rPr>
              <w:t xml:space="preserve"> a questo link: </w:t>
            </w:r>
            <w:hyperlink r:id="rId7" w:history="1">
              <w:r w:rsidRPr="002335D2">
                <w:rPr>
                  <w:rStyle w:val="Collegamentoipertestuale"/>
                  <w:rFonts w:ascii="Gill Sans MT" w:hAnsi="Gill Sans MT" w:cs="DejaVuSans"/>
                </w:rPr>
                <w:t>https://manageweb.ict.uniba.it/corsi/filosofia/appelli-e-commissioni-desame</w:t>
              </w:r>
            </w:hyperlink>
          </w:p>
          <w:p w14:paraId="27CE656F" w14:textId="77777777" w:rsidR="00050138" w:rsidRPr="002335D2" w:rsidRDefault="002A2030" w:rsidP="005E6426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 w:cs="DejaVuSans"/>
                <w:sz w:val="24"/>
                <w:szCs w:val="24"/>
              </w:rPr>
              <w:t>Per iscriversi all’esame è obbligatorio utilizzare il sistema Esse3</w:t>
            </w:r>
          </w:p>
        </w:tc>
      </w:tr>
      <w:tr w:rsidR="0006054A" w:rsidRPr="002335D2" w14:paraId="4334F8FF" w14:textId="77777777" w:rsidTr="00E2145B">
        <w:trPr>
          <w:trHeight w:val="70"/>
        </w:trPr>
        <w:tc>
          <w:tcPr>
            <w:tcW w:w="4077" w:type="dxa"/>
            <w:shd w:val="clear" w:color="auto" w:fill="FFFFFF"/>
          </w:tcPr>
          <w:p w14:paraId="51315D0B" w14:textId="77777777" w:rsidR="002335D2" w:rsidRPr="002335D2" w:rsidRDefault="0006054A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 xml:space="preserve">Criteri di valutazione </w:t>
            </w:r>
          </w:p>
          <w:p w14:paraId="6DCB44DD" w14:textId="77777777" w:rsidR="0006054A" w:rsidRPr="002335D2" w:rsidRDefault="0006054A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763" w:type="dxa"/>
            <w:gridSpan w:val="3"/>
            <w:shd w:val="clear" w:color="auto" w:fill="auto"/>
          </w:tcPr>
          <w:p w14:paraId="2A1DB245" w14:textId="77777777" w:rsidR="00E2145B" w:rsidRPr="00341FAC" w:rsidRDefault="002335D2" w:rsidP="00E8105A">
            <w:pPr>
              <w:pStyle w:val="NormaleWeb"/>
              <w:jc w:val="both"/>
              <w:rPr>
                <w:rFonts w:ascii="Gill Sans MT" w:hAnsi="Gill Sans MT"/>
                <w:i/>
                <w:iCs/>
              </w:rPr>
            </w:pPr>
            <w:r w:rsidRPr="00341FAC">
              <w:rPr>
                <w:rFonts w:ascii="Gill Sans MT" w:hAnsi="Gill Sans MT"/>
                <w:i/>
                <w:iCs/>
              </w:rPr>
              <w:t>Conoscenza e capacità di comprensione</w:t>
            </w:r>
          </w:p>
          <w:p w14:paraId="504CCEC4" w14:textId="77777777" w:rsidR="002335D2" w:rsidRPr="00341FAC" w:rsidRDefault="00E2145B" w:rsidP="00E8105A">
            <w:pPr>
              <w:pStyle w:val="NormaleWeb"/>
              <w:jc w:val="both"/>
              <w:rPr>
                <w:rFonts w:ascii="Gill Sans MT" w:hAnsi="Gill Sans MT"/>
                <w:i/>
                <w:iCs/>
              </w:rPr>
            </w:pPr>
            <w:r w:rsidRPr="00341FAC">
              <w:rPr>
                <w:rFonts w:ascii="Gill Sans MT" w:hAnsi="Gill Sans MT"/>
              </w:rPr>
              <w:t xml:space="preserve">Al fine di provare che sia stato raggiunto un risultato di apprendimento adeguatamente soddisfacente, </w:t>
            </w:r>
            <w:r w:rsidR="00564E2D" w:rsidRPr="00341FAC">
              <w:rPr>
                <w:rFonts w:ascii="Gill Sans MT" w:hAnsi="Gill Sans MT"/>
              </w:rPr>
              <w:t xml:space="preserve">gli studenti devono </w:t>
            </w:r>
            <w:r w:rsidR="00D14D66" w:rsidRPr="00341FAC">
              <w:rPr>
                <w:rFonts w:ascii="Gill Sans MT" w:hAnsi="Gill Sans MT"/>
              </w:rPr>
              <w:t>dimostrare</w:t>
            </w:r>
            <w:r w:rsidR="00564E2D" w:rsidRPr="00341FAC">
              <w:rPr>
                <w:rFonts w:ascii="Gill Sans MT" w:hAnsi="Gill Sans MT"/>
              </w:rPr>
              <w:t xml:space="preserve"> di</w:t>
            </w:r>
            <w:r w:rsidRPr="00341FAC">
              <w:rPr>
                <w:rFonts w:ascii="Gill Sans MT" w:hAnsi="Gill Sans MT"/>
              </w:rPr>
              <w:t xml:space="preserve"> conoscere i fondamenti del</w:t>
            </w:r>
            <w:r w:rsidR="00564E2D" w:rsidRPr="00341FAC">
              <w:rPr>
                <w:rFonts w:ascii="Gill Sans MT" w:hAnsi="Gill Sans MT"/>
              </w:rPr>
              <w:t>la storia della filosofia araba ed ebraica del Medioevo.</w:t>
            </w:r>
          </w:p>
          <w:p w14:paraId="2DA51CE8" w14:textId="77777777" w:rsidR="002335D2" w:rsidRPr="00341FAC" w:rsidRDefault="002335D2" w:rsidP="00E8105A">
            <w:pPr>
              <w:pStyle w:val="NormaleWeb"/>
              <w:jc w:val="both"/>
              <w:rPr>
                <w:rFonts w:ascii="Gill Sans MT" w:hAnsi="Gill Sans MT"/>
              </w:rPr>
            </w:pPr>
            <w:r w:rsidRPr="00341FAC">
              <w:rPr>
                <w:rFonts w:ascii="Gill Sans MT" w:hAnsi="Gill Sans MT"/>
                <w:i/>
                <w:iCs/>
              </w:rPr>
              <w:t>Conoscenza e capacità di comprensione applicate</w:t>
            </w:r>
          </w:p>
          <w:p w14:paraId="3252B2BE" w14:textId="77777777" w:rsidR="002335D2" w:rsidRPr="00341FAC" w:rsidRDefault="00564E2D" w:rsidP="00E810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Gill Sans MT" w:hAnsi="Gill Sans MT"/>
                <w:sz w:val="24"/>
                <w:szCs w:val="24"/>
              </w:rPr>
            </w:pPr>
            <w:r w:rsidRPr="00341FAC">
              <w:rPr>
                <w:rFonts w:ascii="Gill Sans MT" w:hAnsi="Gill Sans MT"/>
                <w:sz w:val="24"/>
                <w:szCs w:val="24"/>
              </w:rPr>
              <w:t xml:space="preserve">Gli studenti devono </w:t>
            </w:r>
            <w:r w:rsidR="00D14D66" w:rsidRPr="00341FAC">
              <w:rPr>
                <w:rFonts w:ascii="Gill Sans MT" w:hAnsi="Gill Sans MT"/>
                <w:sz w:val="24"/>
                <w:szCs w:val="24"/>
              </w:rPr>
              <w:t xml:space="preserve">dare prova di </w:t>
            </w:r>
            <w:r w:rsidRPr="00341FAC">
              <w:rPr>
                <w:rFonts w:ascii="Gill Sans MT" w:hAnsi="Gill Sans MT"/>
                <w:sz w:val="24"/>
                <w:szCs w:val="24"/>
              </w:rPr>
              <w:t>co</w:t>
            </w:r>
            <w:r w:rsidR="00D14D66" w:rsidRPr="00341FAC">
              <w:rPr>
                <w:rFonts w:ascii="Gill Sans MT" w:hAnsi="Gill Sans MT"/>
                <w:sz w:val="24"/>
                <w:szCs w:val="24"/>
              </w:rPr>
              <w:t xml:space="preserve">noscere le teorie elaborate </w:t>
            </w:r>
            <w:r w:rsidRPr="00341FAC">
              <w:rPr>
                <w:rFonts w:ascii="Gill Sans MT" w:hAnsi="Gill Sans MT"/>
                <w:sz w:val="24"/>
                <w:szCs w:val="24"/>
              </w:rPr>
              <w:t>sul diritto di cittadinanza riservato al</w:t>
            </w:r>
            <w:r w:rsidR="00D14D66" w:rsidRPr="00341FAC">
              <w:rPr>
                <w:rFonts w:ascii="Gill Sans MT" w:hAnsi="Gill Sans MT"/>
                <w:sz w:val="24"/>
                <w:szCs w:val="24"/>
              </w:rPr>
              <w:t xml:space="preserve"> filosofo e al</w:t>
            </w:r>
            <w:r w:rsidRPr="00341FAC">
              <w:rPr>
                <w:rFonts w:ascii="Gill Sans MT" w:hAnsi="Gill Sans MT"/>
                <w:sz w:val="24"/>
                <w:szCs w:val="24"/>
              </w:rPr>
              <w:t>la filosofia nel Medioevo arabo ed ebraico</w:t>
            </w:r>
            <w:r w:rsidR="00D14D66" w:rsidRPr="00341FAC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29A00149" w14:textId="77777777" w:rsidR="002335D2" w:rsidRPr="00341FAC" w:rsidRDefault="002335D2" w:rsidP="00E8105A">
            <w:pPr>
              <w:pStyle w:val="NormaleWeb"/>
              <w:jc w:val="both"/>
              <w:rPr>
                <w:rFonts w:ascii="Gill Sans MT" w:hAnsi="Gill Sans MT"/>
              </w:rPr>
            </w:pPr>
            <w:r w:rsidRPr="00341FAC">
              <w:rPr>
                <w:rFonts w:ascii="Gill Sans MT" w:hAnsi="Gill Sans MT"/>
                <w:i/>
                <w:iCs/>
              </w:rPr>
              <w:t>Autonomia di giudizio</w:t>
            </w:r>
          </w:p>
          <w:p w14:paraId="7A5E1453" w14:textId="77777777" w:rsidR="002335D2" w:rsidRPr="00341FAC" w:rsidRDefault="00D14D66" w:rsidP="00E8105A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341FAC">
              <w:rPr>
                <w:rFonts w:ascii="Gill Sans MT" w:hAnsi="Gill Sans MT"/>
                <w:sz w:val="24"/>
                <w:szCs w:val="24"/>
              </w:rPr>
              <w:t>Gli studenti devono dimostrare di saper argomentare i</w:t>
            </w:r>
            <w:r w:rsidR="00E23646" w:rsidRPr="00341FAC">
              <w:rPr>
                <w:rFonts w:ascii="Gill Sans MT" w:hAnsi="Gill Sans MT"/>
                <w:sz w:val="24"/>
                <w:szCs w:val="24"/>
              </w:rPr>
              <w:t>n maniera critica ed autonoma le</w:t>
            </w:r>
            <w:r w:rsidRPr="00341FAC">
              <w:rPr>
                <w:rFonts w:ascii="Gill Sans MT" w:hAnsi="Gill Sans MT"/>
                <w:sz w:val="24"/>
                <w:szCs w:val="24"/>
              </w:rPr>
              <w:t xml:space="preserve"> question</w:t>
            </w:r>
            <w:r w:rsidR="00E23646" w:rsidRPr="00341FAC">
              <w:rPr>
                <w:rFonts w:ascii="Gill Sans MT" w:hAnsi="Gill Sans MT"/>
                <w:sz w:val="24"/>
                <w:szCs w:val="24"/>
              </w:rPr>
              <w:t>i</w:t>
            </w:r>
            <w:r w:rsidRPr="00341FAC">
              <w:rPr>
                <w:rFonts w:ascii="Gill Sans MT" w:hAnsi="Gill Sans MT"/>
                <w:sz w:val="24"/>
                <w:szCs w:val="24"/>
              </w:rPr>
              <w:t>, riconoscendo anche il debito del pensiero ebraico nei confronti di quello arabo, nel corso degli scambi culturali fra le due tradizioni</w:t>
            </w:r>
            <w:r w:rsidR="00E8105A" w:rsidRPr="00341FAC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063EA6F2" w14:textId="77777777" w:rsidR="002335D2" w:rsidRPr="00341FAC" w:rsidRDefault="002335D2" w:rsidP="005E6426">
            <w:pPr>
              <w:pStyle w:val="NormaleWeb"/>
              <w:rPr>
                <w:rFonts w:ascii="Gill Sans MT" w:hAnsi="Gill Sans MT"/>
              </w:rPr>
            </w:pPr>
            <w:r w:rsidRPr="00341FAC">
              <w:rPr>
                <w:rFonts w:ascii="Gill Sans MT" w:hAnsi="Gill Sans MT"/>
                <w:i/>
                <w:iCs/>
              </w:rPr>
              <w:t>Abilità comunicative</w:t>
            </w:r>
          </w:p>
          <w:p w14:paraId="2C974FE2" w14:textId="77777777" w:rsidR="00E23646" w:rsidRPr="00341FAC" w:rsidRDefault="00E23646" w:rsidP="00E23646">
            <w:pPr>
              <w:spacing w:after="0"/>
              <w:ind w:left="2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341FAC">
              <w:rPr>
                <w:rFonts w:ascii="Gill Sans MT" w:hAnsi="Gill Sans MT"/>
                <w:sz w:val="24"/>
                <w:szCs w:val="24"/>
              </w:rPr>
              <w:t>Gli studenti devono saper argomentare in maniera efficace le questioni, dimostrando una solida capacità di elaborazione delle proprie risposte; devono inoltre dimostrare di utilizzare efficacemente almeno un’altra lingua dell’Unione Europea.</w:t>
            </w:r>
          </w:p>
          <w:p w14:paraId="43E04CE5" w14:textId="77777777" w:rsidR="002335D2" w:rsidRPr="00341FAC" w:rsidRDefault="002335D2" w:rsidP="005E6426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EF2C516" w14:textId="77777777" w:rsidR="0006054A" w:rsidRDefault="002335D2" w:rsidP="005E6426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341FAC">
              <w:rPr>
                <w:rFonts w:ascii="Gill Sans MT" w:hAnsi="Gill Sans MT"/>
                <w:i/>
                <w:iCs/>
                <w:sz w:val="24"/>
                <w:szCs w:val="24"/>
              </w:rPr>
              <w:t>Capacità di apprendere</w:t>
            </w:r>
          </w:p>
          <w:p w14:paraId="127F92F2" w14:textId="77777777" w:rsidR="00FF67C9" w:rsidRPr="00FF67C9" w:rsidRDefault="00FF67C9" w:rsidP="00FF67C9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FF67C9">
              <w:rPr>
                <w:rFonts w:ascii="Gill Sans MT" w:hAnsi="Gill Sans MT"/>
                <w:sz w:val="24"/>
                <w:szCs w:val="24"/>
              </w:rPr>
              <w:t>Gli studenti devono dimostrare di possedere le competenze necessarie per accedere alle lauree specialistiche di orientamento affine.</w:t>
            </w:r>
          </w:p>
        </w:tc>
      </w:tr>
      <w:tr w:rsidR="00050138" w:rsidRPr="002335D2" w14:paraId="73554BD7" w14:textId="77777777" w:rsidTr="00E2145B">
        <w:trPr>
          <w:trHeight w:val="70"/>
        </w:trPr>
        <w:tc>
          <w:tcPr>
            <w:tcW w:w="4077" w:type="dxa"/>
            <w:shd w:val="clear" w:color="auto" w:fill="FFFFFF"/>
          </w:tcPr>
          <w:p w14:paraId="6241397C" w14:textId="77777777" w:rsidR="00050138" w:rsidRPr="002335D2" w:rsidRDefault="007E4D59" w:rsidP="005E6426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/>
                <w:sz w:val="24"/>
                <w:szCs w:val="24"/>
              </w:rPr>
              <w:t>Ricevimento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7B4724A2" w14:textId="7E35606F" w:rsidR="00050138" w:rsidRPr="002335D2" w:rsidRDefault="007E4D59" w:rsidP="005E6426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335D2">
              <w:rPr>
                <w:rFonts w:ascii="Gill Sans MT" w:hAnsi="Gill Sans MT" w:cs="DejaVuSans"/>
                <w:sz w:val="24"/>
                <w:szCs w:val="24"/>
              </w:rPr>
              <w:t xml:space="preserve">Gli orari di ricevimento </w:t>
            </w:r>
            <w:r w:rsidR="00BF1E61">
              <w:rPr>
                <w:rFonts w:ascii="Gill Sans MT" w:hAnsi="Gill Sans MT" w:cs="DejaVuSans"/>
                <w:sz w:val="24"/>
                <w:szCs w:val="24"/>
              </w:rPr>
              <w:t xml:space="preserve">sono pubblicati alla pagina </w:t>
            </w:r>
            <w:r w:rsidRPr="002335D2">
              <w:rPr>
                <w:rFonts w:ascii="Gill Sans MT" w:hAnsi="Gill Sans MT" w:cs="DejaVuSans"/>
                <w:sz w:val="24"/>
                <w:szCs w:val="24"/>
              </w:rPr>
              <w:t>della docente sul sito del Dipartimento DISUM: (</w:t>
            </w:r>
            <w:r w:rsidR="00017ED4" w:rsidRPr="00017ED4">
              <w:rPr>
                <w:rFonts w:ascii="Gill Sans MT" w:hAnsi="Gill Sans MT" w:cs="DejaVuSans"/>
                <w:sz w:val="24"/>
                <w:szCs w:val="24"/>
              </w:rPr>
              <w:t>https://www.uniba.it/docenti/benedetto-marienza</w:t>
            </w:r>
            <w:r w:rsidRPr="002335D2">
              <w:rPr>
                <w:rFonts w:ascii="Gill Sans MT" w:hAnsi="Gill Sans MT" w:cs="DejaVuSans"/>
                <w:sz w:val="24"/>
                <w:szCs w:val="24"/>
              </w:rPr>
              <w:t xml:space="preserve">). </w:t>
            </w:r>
            <w:r w:rsidRPr="002335D2">
              <w:rPr>
                <w:rFonts w:ascii="Gill Sans MT" w:hAnsi="Gill Sans MT" w:cs="DejaVuSans"/>
                <w:sz w:val="24"/>
                <w:szCs w:val="24"/>
              </w:rPr>
              <w:br/>
            </w:r>
          </w:p>
        </w:tc>
      </w:tr>
    </w:tbl>
    <w:p w14:paraId="2A4B7403" w14:textId="77777777" w:rsidR="00104931" w:rsidRPr="002335D2" w:rsidRDefault="005E642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textWrapping" w:clear="all"/>
      </w:r>
    </w:p>
    <w:p w14:paraId="2BAE6923" w14:textId="77777777" w:rsidR="00F928E3" w:rsidRPr="002335D2" w:rsidRDefault="00F928E3" w:rsidP="00455F85">
      <w:pPr>
        <w:rPr>
          <w:rFonts w:ascii="Gill Sans MT" w:hAnsi="Gill Sans MT"/>
          <w:sz w:val="24"/>
          <w:szCs w:val="24"/>
        </w:rPr>
      </w:pPr>
    </w:p>
    <w:sectPr w:rsidR="00F928E3" w:rsidRPr="002335D2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BAE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F318F"/>
    <w:multiLevelType w:val="hybridMultilevel"/>
    <w:tmpl w:val="EB664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D"/>
    <w:rsid w:val="00017ED4"/>
    <w:rsid w:val="00050138"/>
    <w:rsid w:val="0006054A"/>
    <w:rsid w:val="00097737"/>
    <w:rsid w:val="00104931"/>
    <w:rsid w:val="00113C50"/>
    <w:rsid w:val="0013566D"/>
    <w:rsid w:val="0014024D"/>
    <w:rsid w:val="00145719"/>
    <w:rsid w:val="0017282F"/>
    <w:rsid w:val="00176F96"/>
    <w:rsid w:val="001F4EEB"/>
    <w:rsid w:val="002335D2"/>
    <w:rsid w:val="00246829"/>
    <w:rsid w:val="00273A6F"/>
    <w:rsid w:val="0028443E"/>
    <w:rsid w:val="00296FBF"/>
    <w:rsid w:val="002A2030"/>
    <w:rsid w:val="002C478B"/>
    <w:rsid w:val="002E09A6"/>
    <w:rsid w:val="002F1C56"/>
    <w:rsid w:val="00303BE3"/>
    <w:rsid w:val="00316E61"/>
    <w:rsid w:val="0032406E"/>
    <w:rsid w:val="00341FAC"/>
    <w:rsid w:val="00370B53"/>
    <w:rsid w:val="003C6EFA"/>
    <w:rsid w:val="003C7785"/>
    <w:rsid w:val="003D4C2F"/>
    <w:rsid w:val="00452E38"/>
    <w:rsid w:val="00455F85"/>
    <w:rsid w:val="004979C8"/>
    <w:rsid w:val="004B147B"/>
    <w:rsid w:val="00561FBB"/>
    <w:rsid w:val="00564E2D"/>
    <w:rsid w:val="005B5D0D"/>
    <w:rsid w:val="005E6426"/>
    <w:rsid w:val="00642F24"/>
    <w:rsid w:val="00652284"/>
    <w:rsid w:val="006F0D12"/>
    <w:rsid w:val="00754B04"/>
    <w:rsid w:val="00796D43"/>
    <w:rsid w:val="007B2ABB"/>
    <w:rsid w:val="007E1EE2"/>
    <w:rsid w:val="007E4D59"/>
    <w:rsid w:val="0080057F"/>
    <w:rsid w:val="008152C5"/>
    <w:rsid w:val="008247DE"/>
    <w:rsid w:val="00897178"/>
    <w:rsid w:val="008B39B1"/>
    <w:rsid w:val="008E043B"/>
    <w:rsid w:val="00962EF0"/>
    <w:rsid w:val="00971FA5"/>
    <w:rsid w:val="009B2132"/>
    <w:rsid w:val="009B7151"/>
    <w:rsid w:val="00AF5A7B"/>
    <w:rsid w:val="00B20167"/>
    <w:rsid w:val="00B26723"/>
    <w:rsid w:val="00B4413B"/>
    <w:rsid w:val="00B4514D"/>
    <w:rsid w:val="00B85285"/>
    <w:rsid w:val="00BD18A3"/>
    <w:rsid w:val="00BF1E61"/>
    <w:rsid w:val="00CA1257"/>
    <w:rsid w:val="00CB488C"/>
    <w:rsid w:val="00CC5A16"/>
    <w:rsid w:val="00D14D66"/>
    <w:rsid w:val="00D241C4"/>
    <w:rsid w:val="00D41AF7"/>
    <w:rsid w:val="00D435F1"/>
    <w:rsid w:val="00D87291"/>
    <w:rsid w:val="00DA3509"/>
    <w:rsid w:val="00DD6F05"/>
    <w:rsid w:val="00DE4459"/>
    <w:rsid w:val="00E2145B"/>
    <w:rsid w:val="00E23646"/>
    <w:rsid w:val="00E643C5"/>
    <w:rsid w:val="00E8105A"/>
    <w:rsid w:val="00F21BD6"/>
    <w:rsid w:val="00F449A2"/>
    <w:rsid w:val="00F52AE6"/>
    <w:rsid w:val="00F82E05"/>
    <w:rsid w:val="00F928E3"/>
    <w:rsid w:val="00FA52F0"/>
    <w:rsid w:val="00FF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1E9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773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A20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7E1EE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niba.it/corsi/filosofia/presentazione-del-corso/regolamento-del-corso" TargetMode="External"/><Relationship Id="rId7" Type="http://schemas.openxmlformats.org/officeDocument/2006/relationships/hyperlink" Target="https://manageweb.ict.uniba.it/corsi/filosofia/appelli-e-commissioni-desam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2BC3-AEFD-0C47-9943-53E44027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4861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Links>
    <vt:vector size="18" baseType="variant">
      <vt:variant>
        <vt:i4>3866669</vt:i4>
      </vt:variant>
      <vt:variant>
        <vt:i4>6</vt:i4>
      </vt:variant>
      <vt:variant>
        <vt:i4>0</vt:i4>
      </vt:variant>
      <vt:variant>
        <vt:i4>5</vt:i4>
      </vt:variant>
      <vt:variant>
        <vt:lpwstr>https://manageweb.ict.uniba.it/corsi/filosofia/appelli-e-commissioni-desame</vt:lpwstr>
      </vt:variant>
      <vt:variant>
        <vt:lpwstr/>
      </vt:variant>
      <vt:variant>
        <vt:i4>5242894</vt:i4>
      </vt:variant>
      <vt:variant>
        <vt:i4>3</vt:i4>
      </vt:variant>
      <vt:variant>
        <vt:i4>0</vt:i4>
      </vt:variant>
      <vt:variant>
        <vt:i4>5</vt:i4>
      </vt:variant>
      <vt:variant>
        <vt:lpwstr>http://www.uniba.it/corsi/filosofia/presentazione-del-corso/regolamento-del-corso</vt:lpwstr>
      </vt:variant>
      <vt:variant>
        <vt:lpwstr/>
      </vt:variant>
      <vt:variant>
        <vt:i4>6881400</vt:i4>
      </vt:variant>
      <vt:variant>
        <vt:i4>0</vt:i4>
      </vt:variant>
      <vt:variant>
        <vt:i4>0</vt:i4>
      </vt:variant>
      <vt:variant>
        <vt:i4>5</vt:i4>
      </vt:variant>
      <vt:variant>
        <vt:lpwstr>http://www.uniba.it/corsi/scienze-filosofiche/presentazione-del-corso/regolamento-del-corso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</dc:creator>
  <cp:keywords/>
  <dc:description/>
  <cp:lastModifiedBy>Marienza Benedetto</cp:lastModifiedBy>
  <cp:revision>2</cp:revision>
  <cp:lastPrinted>2018-06-19T10:17:00Z</cp:lastPrinted>
  <dcterms:created xsi:type="dcterms:W3CDTF">2018-07-03T17:09:00Z</dcterms:created>
  <dcterms:modified xsi:type="dcterms:W3CDTF">2018-07-03T17:09:00Z</dcterms:modified>
</cp:coreProperties>
</file>