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2368B6">
            <w:pPr>
              <w:spacing w:after="0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Biomeccanica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 </w:t>
            </w:r>
            <w:r w:rsidR="001F1EE1">
              <w:rPr>
                <w:rFonts w:ascii="Gill Sans MT" w:hAnsi="Gill Sans MT"/>
              </w:rPr>
              <w:t>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DE68C6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Biomechanics 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Sì 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DE68C6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Livio Quagliarella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DE68C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 livio.quagliarella@uniba.it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E68C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ING-IND/34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E68C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2° 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DE68C6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Tradizionale 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 xml:space="preserve">1° semestre 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DE68C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semestre 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DE68C6" w:rsidRPr="00642F24" w:rsidRDefault="00DE68C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Anatomia 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DE68C6" w:rsidRPr="00DE68C6" w:rsidRDefault="00DE68C6" w:rsidP="00DE68C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b/>
                <w:i/>
              </w:rPr>
            </w:pPr>
            <w:r w:rsidRPr="00DE68C6">
              <w:rPr>
                <w:rFonts w:ascii="Gill Sans MT" w:hAnsi="Gill Sans MT"/>
                <w:b/>
                <w:i/>
              </w:rPr>
              <w:t>a) Saper caratterizzare le grandezze fisiche e la loro misurazione,</w:t>
            </w:r>
          </w:p>
          <w:p w:rsidR="00DE68C6" w:rsidRPr="00DE68C6" w:rsidRDefault="00DE68C6" w:rsidP="00DE68C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b/>
                <w:i/>
              </w:rPr>
            </w:pPr>
            <w:r w:rsidRPr="00DE68C6">
              <w:rPr>
                <w:rFonts w:ascii="Gill Sans MT" w:hAnsi="Gill Sans MT"/>
                <w:b/>
                <w:i/>
              </w:rPr>
              <w:t xml:space="preserve">b) Saper distinguere tra le proprietà principali dei vari </w:t>
            </w:r>
            <w:r>
              <w:rPr>
                <w:rFonts w:ascii="Gill Sans MT" w:hAnsi="Gill Sans MT"/>
                <w:b/>
                <w:i/>
              </w:rPr>
              <w:t xml:space="preserve">tipi di moto di un corpo, saper </w:t>
            </w:r>
            <w:r w:rsidRPr="00DE68C6">
              <w:rPr>
                <w:rFonts w:ascii="Gill Sans MT" w:hAnsi="Gill Sans MT"/>
                <w:b/>
                <w:i/>
              </w:rPr>
              <w:t>stabilire le condizioni di equilibrio per un corpo rigido,</w:t>
            </w:r>
          </w:p>
          <w:p w:rsidR="00DE68C6" w:rsidRPr="00DE68C6" w:rsidRDefault="00DE68C6" w:rsidP="00DE68C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b/>
                <w:i/>
              </w:rPr>
            </w:pPr>
            <w:r w:rsidRPr="00DE68C6">
              <w:rPr>
                <w:rFonts w:ascii="Gill Sans MT" w:hAnsi="Gill Sans MT"/>
                <w:b/>
                <w:i/>
              </w:rPr>
              <w:t>c)Saper caratterizzare il movimento di corpi in rota</w:t>
            </w:r>
            <w:r>
              <w:rPr>
                <w:rFonts w:ascii="Gill Sans MT" w:hAnsi="Gill Sans MT"/>
                <w:b/>
                <w:i/>
              </w:rPr>
              <w:t xml:space="preserve">zione in accordo ad un punto di </w:t>
            </w:r>
            <w:r w:rsidRPr="00DE68C6">
              <w:rPr>
                <w:rFonts w:ascii="Gill Sans MT" w:hAnsi="Gill Sans MT"/>
                <w:b/>
                <w:i/>
              </w:rPr>
              <w:t>riferimento detto polo,</w:t>
            </w:r>
          </w:p>
          <w:p w:rsidR="00DE68C6" w:rsidRPr="00DE68C6" w:rsidRDefault="00DE68C6" w:rsidP="00DE68C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b/>
                <w:i/>
              </w:rPr>
            </w:pPr>
            <w:r w:rsidRPr="00DE68C6">
              <w:rPr>
                <w:rFonts w:ascii="Gill Sans MT" w:hAnsi="Gill Sans MT"/>
                <w:b/>
                <w:i/>
              </w:rPr>
              <w:t>d) Riuscire a fare un bilancio energetico di un’attività motoria,</w:t>
            </w:r>
          </w:p>
          <w:p w:rsidR="00126484" w:rsidRPr="00DE68C6" w:rsidRDefault="00DE68C6" w:rsidP="00DE68C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b/>
                <w:i/>
              </w:rPr>
            </w:pPr>
            <w:r w:rsidRPr="00DE68C6">
              <w:rPr>
                <w:rFonts w:ascii="Gill Sans MT" w:hAnsi="Gill Sans MT"/>
                <w:b/>
                <w:i/>
              </w:rPr>
              <w:t>e) Saper caratterizzare gli urti tra due corpi e ricavarne di conseguenza un’analisi</w:t>
            </w:r>
            <w:r>
              <w:rPr>
                <w:rFonts w:ascii="Gill Sans MT" w:hAnsi="Gill Sans MT"/>
                <w:b/>
                <w:i/>
              </w:rPr>
              <w:t xml:space="preserve"> </w:t>
            </w:r>
            <w:r w:rsidRPr="00DE68C6">
              <w:rPr>
                <w:rFonts w:ascii="Gill Sans MT" w:hAnsi="Gill Sans MT"/>
                <w:b/>
                <w:i/>
              </w:rPr>
              <w:t>energetica.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MECCANICA ED ELASTICITA' DEI MATERIALI Introduzione - Richiami di cinematica, dinamica, energia 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lavoro. Sul concetto di forza - Centro di massa - Momento di inerzia - Vincoli - Principio di disgregazione -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Equazioni cardinali della statica - Sistemi staticamente equivalenti - Corpo perfettamente elastico 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principio di sovrapposizione degli effetti - Deformazioni e tensioni - Le caratteristiche della sollecitazione -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Sforzo normale. - Flessione - Taglio - Torsione - Sollecitazioni composte, tensioni principali e criteri di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resistenza - Strategie costruttive - Reologia - Curva Sforzo-Deformazione - Rigidezza - Comportamento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viscoso - Frattura - Intagli e concentrazione di sforzi - Sollecitazioni dinamiche - Fatica -Attrito e Usura.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MATERIALI E BIOCOMPATIBILITÀ Biomateriali - Materiali metallici - Leghe metalliche - Acciai inossidabili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austenitici - Leghe di cobalto - Titanio e leghe di titanio - Materiali Compositi - Corrosione - Trattamenti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superficiali: irruvidimento della superficie - Polimeri - Materiali ceramici - Biocompatibilità - Cenni su altre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tipologie di materiali.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BIOMECCANICA DELL’APPARATO LOCOMOTORE Introduzione - Aspetti costruttivi dell’apparato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locomotore - Lubrificazione - Modello dell’apparato locomotore - Biomeccanica dell’anca - Stima dei carichi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proofErr w:type="spellStart"/>
            <w:r w:rsidRPr="00DE68C6">
              <w:rPr>
                <w:rFonts w:ascii="Gill Sans MT" w:hAnsi="Gill Sans MT"/>
              </w:rPr>
              <w:t>intersegmentali</w:t>
            </w:r>
            <w:proofErr w:type="spellEnd"/>
            <w:r w:rsidRPr="00DE68C6">
              <w:rPr>
                <w:rFonts w:ascii="Gill Sans MT" w:hAnsi="Gill Sans MT"/>
              </w:rPr>
              <w:t xml:space="preserve"> del ginocchio - Biomeccanica della mano - Tessuti Biologici - Tessuto osseo - Collagene -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Elastina - Tendini e legamenti - Cartilagine articolare – Catene cinematiche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ANALISI DEL MOVIMENTO L’analisi del movimento - Classificazione e controllo del movimento - Analisi del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passo - Il laboratorio di analisi del movimento - Principi di stereofotogrammetria - Dati sperimentali -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Cinematica - Dinamica - Elettromiografia di superficie - Esecuzione di una sessione di analisi del cammino -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 xml:space="preserve">Cause di errore - </w:t>
            </w:r>
            <w:proofErr w:type="spellStart"/>
            <w:r w:rsidRPr="00DE68C6">
              <w:rPr>
                <w:rFonts w:ascii="Gill Sans MT" w:hAnsi="Gill Sans MT"/>
              </w:rPr>
              <w:t>Posturografia</w:t>
            </w:r>
            <w:proofErr w:type="spellEnd"/>
            <w:r w:rsidRPr="00DE68C6">
              <w:rPr>
                <w:rFonts w:ascii="Gill Sans MT" w:hAnsi="Gill Sans MT"/>
              </w:rPr>
              <w:t xml:space="preserve"> - Valutazione funzionale del movimento.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TEORIA DELLA MISURA E SENSORI Le unità di misura e la loro storia - Errori, precisione e accuratezza di una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misura - L’incertezza di misura L’incertezza nelle misure dirette - L’incertezza nelle misure indirette - La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catena di misura - I sensori - Caratterizzazione dei sensori - Caratterizzazione statica - Le altre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 xml:space="preserve">caratterizzazioni - Alcuni esempi di sensori - Sensori </w:t>
            </w:r>
            <w:r w:rsidRPr="00DE68C6">
              <w:rPr>
                <w:rFonts w:ascii="Gill Sans MT" w:hAnsi="Gill Sans MT"/>
              </w:rPr>
              <w:lastRenderedPageBreak/>
              <w:t>resistivi - Sensori capacitivi - Cenni ai sensori basati su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altre proprietà fisiche.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ANALISI DEI SEGNALI I segnali biomedici - Classificazione dei segnali biomedici - La strumentazione</w:t>
            </w:r>
          </w:p>
          <w:p w:rsidR="00DE68C6" w:rsidRPr="00DE68C6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biomedica - Problematiche - La conversione analogico-digitale - Il campionamento - La quantizzazione -</w:t>
            </w:r>
          </w:p>
          <w:p w:rsidR="00050138" w:rsidRDefault="00DE68C6" w:rsidP="00DE68C6">
            <w:pPr>
              <w:pStyle w:val="Grigliamedia1-Colore21"/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Elementi sull’elaborazione dei segnali - L’analisi del dominio della frequen</w:t>
            </w:r>
            <w:r>
              <w:rPr>
                <w:rFonts w:ascii="Gill Sans MT" w:hAnsi="Gill Sans MT"/>
              </w:rPr>
              <w:t xml:space="preserve">za - Il rumore elettronico ed i </w:t>
            </w:r>
            <w:bookmarkStart w:id="0" w:name="_GoBack"/>
            <w:bookmarkEnd w:id="0"/>
            <w:r w:rsidRPr="00DE68C6">
              <w:rPr>
                <w:rFonts w:ascii="Gill Sans MT" w:hAnsi="Gill Sans MT"/>
              </w:rPr>
              <w:t>filtri.</w:t>
            </w:r>
            <w:r w:rsidRPr="00DE68C6">
              <w:rPr>
                <w:rFonts w:ascii="Gill Sans MT" w:hAnsi="Gill Sans MT"/>
              </w:rPr>
              <w:cr/>
            </w:r>
          </w:p>
          <w:p w:rsidR="00DE68C6" w:rsidRDefault="00DE68C6" w:rsidP="00DE68C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  <w:p w:rsidR="00DE68C6" w:rsidRDefault="00DE68C6" w:rsidP="00DE68C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  <w:p w:rsidR="00DE68C6" w:rsidRDefault="00DE68C6" w:rsidP="00DE68C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  <w:p w:rsidR="00DE68C6" w:rsidRPr="006715E7" w:rsidRDefault="00DE68C6" w:rsidP="00DE68C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 xml:space="preserve">o Elementi introduttivi di ingegneria biomedica, Livio Quagliarella, Nicola </w:t>
            </w:r>
            <w:proofErr w:type="spellStart"/>
            <w:r w:rsidRPr="00DE68C6">
              <w:rPr>
                <w:rFonts w:ascii="Gill Sans MT" w:hAnsi="Gill Sans MT"/>
              </w:rPr>
              <w:t>Sasanelli</w:t>
            </w:r>
            <w:proofErr w:type="spellEnd"/>
            <w:r w:rsidRPr="00DE68C6">
              <w:rPr>
                <w:rFonts w:ascii="Gill Sans MT" w:hAnsi="Gill Sans MT"/>
              </w:rPr>
              <w:t xml:space="preserve"> Cedam 2013;</w:t>
            </w:r>
          </w:p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o diapositive inerenti argomenti non presenti nel testo fornite in rete (www.bioingegneria.uniba.it) in</w:t>
            </w:r>
          </w:p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formato pdf</w:t>
            </w:r>
          </w:p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- Testi di approfondimento:</w:t>
            </w:r>
          </w:p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o Biomeccanica Ortopedica e Traumatologica F. Pipino e L. Quagliarella UTET 1985</w:t>
            </w:r>
          </w:p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 xml:space="preserve">o </w:t>
            </w:r>
            <w:proofErr w:type="spellStart"/>
            <w:r w:rsidRPr="00DE68C6">
              <w:rPr>
                <w:rFonts w:ascii="Gill Sans MT" w:hAnsi="Gill Sans MT"/>
              </w:rPr>
              <w:t>Biomechanic</w:t>
            </w:r>
            <w:proofErr w:type="spellEnd"/>
            <w:r w:rsidRPr="00DE68C6">
              <w:rPr>
                <w:rFonts w:ascii="Gill Sans MT" w:hAnsi="Gill Sans MT"/>
              </w:rPr>
              <w:t xml:space="preserve"> of the </w:t>
            </w:r>
            <w:proofErr w:type="spellStart"/>
            <w:r w:rsidRPr="00DE68C6">
              <w:rPr>
                <w:rFonts w:ascii="Gill Sans MT" w:hAnsi="Gill Sans MT"/>
              </w:rPr>
              <w:t>Locomotor</w:t>
            </w:r>
            <w:proofErr w:type="spellEnd"/>
            <w:r w:rsidRPr="00DE68C6">
              <w:rPr>
                <w:rFonts w:ascii="Gill Sans MT" w:hAnsi="Gill Sans MT"/>
              </w:rPr>
              <w:t xml:space="preserve"> </w:t>
            </w:r>
            <w:proofErr w:type="spellStart"/>
            <w:r w:rsidRPr="00DE68C6">
              <w:rPr>
                <w:rFonts w:ascii="Gill Sans MT" w:hAnsi="Gill Sans MT"/>
              </w:rPr>
              <w:t>apparatus</w:t>
            </w:r>
            <w:proofErr w:type="spellEnd"/>
            <w:r w:rsidRPr="00DE68C6">
              <w:rPr>
                <w:rFonts w:ascii="Gill Sans MT" w:hAnsi="Gill Sans MT"/>
              </w:rPr>
              <w:t xml:space="preserve">, F, </w:t>
            </w:r>
            <w:proofErr w:type="spellStart"/>
            <w:r w:rsidRPr="00DE68C6">
              <w:rPr>
                <w:rFonts w:ascii="Gill Sans MT" w:hAnsi="Gill Sans MT"/>
              </w:rPr>
              <w:t>Pauwels</w:t>
            </w:r>
            <w:proofErr w:type="spellEnd"/>
            <w:r w:rsidRPr="00DE68C6">
              <w:rPr>
                <w:rFonts w:ascii="Gill Sans MT" w:hAnsi="Gill Sans MT"/>
              </w:rPr>
              <w:t xml:space="preserve"> </w:t>
            </w:r>
            <w:proofErr w:type="spellStart"/>
            <w:r w:rsidRPr="00DE68C6">
              <w:rPr>
                <w:rFonts w:ascii="Gill Sans MT" w:hAnsi="Gill Sans MT"/>
              </w:rPr>
              <w:t>Springer</w:t>
            </w:r>
            <w:proofErr w:type="spellEnd"/>
            <w:r w:rsidRPr="00DE68C6">
              <w:rPr>
                <w:rFonts w:ascii="Gill Sans MT" w:hAnsi="Gill Sans MT"/>
              </w:rPr>
              <w:t xml:space="preserve"> </w:t>
            </w:r>
            <w:proofErr w:type="spellStart"/>
            <w:r w:rsidRPr="00DE68C6">
              <w:rPr>
                <w:rFonts w:ascii="Gill Sans MT" w:hAnsi="Gill Sans MT"/>
              </w:rPr>
              <w:t>Verlag</w:t>
            </w:r>
            <w:proofErr w:type="spellEnd"/>
            <w:r w:rsidRPr="00DE68C6">
              <w:rPr>
                <w:rFonts w:ascii="Gill Sans MT" w:hAnsi="Gill Sans MT"/>
              </w:rPr>
              <w:t xml:space="preserve"> 1980</w:t>
            </w:r>
          </w:p>
          <w:p w:rsidR="00FD67AD" w:rsidRPr="00642F24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 xml:space="preserve">o Scienza della Costruzioni, o. </w:t>
            </w:r>
            <w:proofErr w:type="spellStart"/>
            <w:r w:rsidRPr="00DE68C6">
              <w:rPr>
                <w:rFonts w:ascii="Gill Sans MT" w:hAnsi="Gill Sans MT"/>
              </w:rPr>
              <w:t>Belluzzi</w:t>
            </w:r>
            <w:proofErr w:type="spellEnd"/>
            <w:r w:rsidRPr="00DE68C6">
              <w:rPr>
                <w:rFonts w:ascii="Gill Sans MT" w:hAnsi="Gill Sans MT"/>
              </w:rPr>
              <w:t>, Zanichelli 1978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DE68C6" w:rsidRPr="00DE68C6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Modalità di svolgimento delle lezioni: lezioni frontali e quattro prove di verifica dell'apprendimento con</w:t>
            </w:r>
          </w:p>
          <w:p w:rsidR="00050138" w:rsidRPr="00642F24" w:rsidRDefault="00DE68C6" w:rsidP="00DE68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</w:rPr>
              <w:t>correzione in aula.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DE68C6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E68C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E68C6">
              <w:rPr>
                <w:rFonts w:ascii="Gill Sans MT" w:hAnsi="Gill Sans MT"/>
                <w:b/>
              </w:rPr>
              <w:t>prova scritta con tre domande a risposta aperta.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DE68C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DE68C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Saper descrivere la biomeccanica del corpo umano e applicare gli strumenti atti per la valutazione 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  <w:r w:rsidR="00DE68C6">
              <w:rPr>
                <w:rFonts w:ascii="Gill Sans MT" w:hAnsi="Gill Sans MT"/>
              </w:rPr>
              <w:t>da concordare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C68"/>
    <w:rsid w:val="00DE68C6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97F7-C973-465D-A94E-E8A9BC3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7</cp:revision>
  <dcterms:created xsi:type="dcterms:W3CDTF">2018-05-26T08:45:00Z</dcterms:created>
  <dcterms:modified xsi:type="dcterms:W3CDTF">2018-06-27T07:42:00Z</dcterms:modified>
</cp:coreProperties>
</file>