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0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46"/>
        <w:gridCol w:w="2398"/>
        <w:gridCol w:w="1700"/>
        <w:gridCol w:w="1460"/>
      </w:tblGrid>
      <w:tr w:rsidR="00A3761F">
        <w:trPr>
          <w:trHeight w:val="6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</w:pPr>
            <w:r>
              <w:rPr>
                <w:b/>
                <w:bCs/>
              </w:rPr>
              <w:t>Principali informazioni sull’insegnamento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Titolo insegnamento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 w:rsidRPr="0093239E">
              <w:rPr>
                <w:rFonts w:ascii="Gill Sans MT" w:eastAsia="Gill Sans MT" w:hAnsi="Gill Sans MT" w:cs="Gill Sans MT"/>
                <w:sz w:val="22"/>
                <w:szCs w:val="22"/>
              </w:rPr>
              <w:t>TRAUMATOLOGIA E PATOLOGIA DELL'APPARATO LOCOMOTORE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Corso di studio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rPr>
                <w:rFonts w:hint="eastAsia"/>
              </w:rPr>
            </w:pPr>
            <w:r>
              <w:rPr>
                <w:rFonts w:ascii="Gill Sans MT" w:eastAsia="Gill Sans MT" w:hAnsi="Gill Sans MT" w:cs="Gill Sans MT"/>
              </w:rPr>
              <w:t>SAMS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Crediti formativi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 w:rsidP="0093239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CINQUE</w:t>
            </w:r>
            <w:r w:rsidR="008A474D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(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5</w:t>
            </w:r>
            <w:r w:rsidR="008A474D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CFU)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Denominazione inglese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 w:rsidRPr="0093239E">
              <w:rPr>
                <w:rFonts w:ascii="Gill Sans MT" w:eastAsia="Gill Sans MT" w:hAnsi="Gill Sans MT" w:cs="Gill Sans MT"/>
                <w:sz w:val="22"/>
                <w:szCs w:val="22"/>
              </w:rPr>
              <w:t>TRAUMATOLOGY AND PATHOLOGY OF THE LOC</w:t>
            </w:r>
            <w:r w:rsidRPr="0093239E">
              <w:rPr>
                <w:rFonts w:ascii="Gill Sans MT" w:eastAsia="Gill Sans MT" w:hAnsi="Gill Sans MT" w:cs="Gill Sans MT"/>
                <w:sz w:val="22"/>
                <w:szCs w:val="22"/>
              </w:rPr>
              <w:t>O</w:t>
            </w:r>
            <w:r w:rsidRPr="0093239E">
              <w:rPr>
                <w:rFonts w:ascii="Gill Sans MT" w:eastAsia="Gill Sans MT" w:hAnsi="Gill Sans MT" w:cs="Gill Sans MT"/>
                <w:sz w:val="22"/>
                <w:szCs w:val="22"/>
              </w:rPr>
              <w:t>MOTOR APPARATUS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Obbligo di frequenza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67DF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SI’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Lingua di erogazione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ITALIANO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 w:rsidTr="00BF7D06">
        <w:trPr>
          <w:trHeight w:val="60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Docente responsabile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Indirizzo Mail</w:t>
            </w:r>
          </w:p>
        </w:tc>
      </w:tr>
      <w:tr w:rsidR="00A3761F" w:rsidTr="00BF7D06">
        <w:trPr>
          <w:trHeight w:val="64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06" w:rsidRDefault="0093239E">
            <w:r>
              <w:t xml:space="preserve">ANGELA </w:t>
            </w:r>
          </w:p>
          <w:p w:rsidR="00A3761F" w:rsidRDefault="0093239E">
            <w:r>
              <w:t>NOTANIC</w:t>
            </w:r>
            <w:r w:rsidR="00BF7D06">
              <w:t>O</w:t>
            </w:r>
            <w:r>
              <w:t>LA, BIAGIO MORE</w:t>
            </w:r>
            <w:r>
              <w:t>T</w:t>
            </w:r>
            <w:r>
              <w:t>TI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DFD" w:rsidRDefault="00841559" w:rsidP="0093239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Style w:val="Hyperlink0"/>
                <w:sz w:val="22"/>
                <w:szCs w:val="22"/>
              </w:rPr>
            </w:pPr>
            <w:hyperlink r:id="rId8" w:history="1">
              <w:r w:rsidR="0093239E" w:rsidRPr="00241783">
                <w:rPr>
                  <w:rStyle w:val="Collegamentoipertestuale"/>
                  <w:sz w:val="22"/>
                  <w:szCs w:val="22"/>
                  <w:u w:color="0000FF"/>
                  <w:lang w:val="de-DE"/>
                </w:rPr>
                <w:t>angela.notarnicola@uniba.it</w:t>
              </w:r>
            </w:hyperlink>
            <w:r w:rsidR="0093239E">
              <w:rPr>
                <w:rStyle w:val="Hyperlink0"/>
                <w:sz w:val="22"/>
                <w:szCs w:val="22"/>
              </w:rPr>
              <w:t xml:space="preserve">; </w:t>
            </w:r>
          </w:p>
          <w:bookmarkStart w:id="0" w:name="_GoBack"/>
          <w:bookmarkEnd w:id="0"/>
          <w:p w:rsidR="00A3761F" w:rsidRDefault="00841559" w:rsidP="0093239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Style w:val="Hyperlink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"mailto:biagio.moretti@uniba.it" </w:instrText>
            </w:r>
            <w:r>
              <w:fldChar w:fldCharType="separate"/>
            </w:r>
            <w:r w:rsidR="0093239E" w:rsidRPr="00241783">
              <w:rPr>
                <w:rStyle w:val="Collegamentoipertestuale"/>
                <w:sz w:val="22"/>
                <w:szCs w:val="22"/>
                <w:u w:color="0000FF"/>
                <w:lang w:val="de-DE"/>
              </w:rPr>
              <w:t>b</w:t>
            </w:r>
            <w:r w:rsidR="0093239E" w:rsidRPr="00241783">
              <w:rPr>
                <w:rStyle w:val="Collegamentoipertestuale"/>
                <w:sz w:val="22"/>
                <w:szCs w:val="22"/>
                <w:u w:color="0000FF"/>
                <w:lang w:val="de-DE"/>
              </w:rPr>
              <w:t>i</w:t>
            </w:r>
            <w:r w:rsidR="0093239E" w:rsidRPr="00241783">
              <w:rPr>
                <w:rStyle w:val="Collegamentoipertestuale"/>
                <w:sz w:val="22"/>
                <w:szCs w:val="22"/>
                <w:u w:color="0000FF"/>
                <w:lang w:val="de-DE"/>
              </w:rPr>
              <w:t>agio.moretti@uniba.it</w:t>
            </w:r>
            <w:r>
              <w:rPr>
                <w:rStyle w:val="Collegamentoipertestuale"/>
                <w:sz w:val="22"/>
                <w:szCs w:val="22"/>
                <w:u w:color="0000FF"/>
                <w:lang w:val="de-DE"/>
              </w:rPr>
              <w:fldChar w:fldCharType="end"/>
            </w:r>
            <w:r w:rsidR="0093239E">
              <w:rPr>
                <w:rStyle w:val="Hyperlink0"/>
                <w:sz w:val="22"/>
                <w:szCs w:val="22"/>
              </w:rPr>
              <w:t xml:space="preserve"> </w:t>
            </w:r>
          </w:p>
          <w:p w:rsidR="0093239E" w:rsidRDefault="0093239E" w:rsidP="0093239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</w:pPr>
          </w:p>
        </w:tc>
      </w:tr>
      <w:tr w:rsidR="00A3761F" w:rsidTr="00BF7D06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 w:rsidTr="00BF7D06">
        <w:trPr>
          <w:trHeight w:val="60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Dettaglio credi formativi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Ambito discipl</w:t>
            </w: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i</w:t>
            </w: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nare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SSD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Crediti</w:t>
            </w:r>
          </w:p>
        </w:tc>
      </w:tr>
      <w:tr w:rsidR="00A3761F" w:rsidTr="00BF7D06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>
            <w:pPr>
              <w:pStyle w:val="Corpo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MED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MED-33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 w:rsidP="0093239E">
            <w:pPr>
              <w:pStyle w:val="Corpo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CINQUE</w:t>
            </w:r>
            <w:r w:rsidR="008A474D"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(</w:t>
            </w: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5</w:t>
            </w:r>
            <w:r w:rsidR="008A474D"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)</w:t>
            </w:r>
          </w:p>
        </w:tc>
      </w:tr>
      <w:tr w:rsidR="00A3761F" w:rsidTr="00BF7D06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Modalità di erogazione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Periodo di erogazione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II semestre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Anno di corso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III anno di corso Laurea triennale</w:t>
            </w:r>
          </w:p>
        </w:tc>
      </w:tr>
      <w:tr w:rsidR="00A3761F">
        <w:trPr>
          <w:trHeight w:val="90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Modalità di erogazione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Lezioni frontali</w:t>
            </w:r>
          </w:p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Ore totali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BF7D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</w:rPr>
              <w:t>10</w:t>
            </w:r>
            <w:r w:rsidR="0093239E">
              <w:rPr>
                <w:rStyle w:val="Nessuno"/>
              </w:rPr>
              <w:t xml:space="preserve">0 </w:t>
            </w:r>
            <w:r w:rsidR="008A474D"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ORE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BF7D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t>Ore di didattica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</w:rPr>
              <w:t>50</w:t>
            </w:r>
            <w:r w:rsidR="008A474D"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ORE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BF7D06">
            <w:r>
              <w:t xml:space="preserve">Ore </w:t>
            </w:r>
            <w:proofErr w:type="spellStart"/>
            <w:r>
              <w:t>individuali</w:t>
            </w:r>
            <w:proofErr w:type="spellEnd"/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BF7D06">
            <w:r>
              <w:t>50 ORE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lastRenderedPageBreak/>
              <w:t>C</w:t>
            </w: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  <w:shd w:val="clear" w:color="auto" w:fill="B2A1C7"/>
              </w:rPr>
              <w:t>alendario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Inizio attività didattiche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 w:rsidP="0093239E">
            <w:pPr>
              <w:pStyle w:val="CorpoA"/>
            </w:pPr>
            <w:r>
              <w:rPr>
                <w:rStyle w:val="Nessuno"/>
                <w:sz w:val="22"/>
                <w:szCs w:val="22"/>
              </w:rPr>
              <w:t>OTTOBRE</w:t>
            </w:r>
            <w:r w:rsidR="008A474D">
              <w:rPr>
                <w:rStyle w:val="Nessuno"/>
                <w:sz w:val="22"/>
                <w:szCs w:val="22"/>
              </w:rPr>
              <w:t xml:space="preserve"> 201</w:t>
            </w:r>
            <w:r>
              <w:rPr>
                <w:rStyle w:val="Nessuno"/>
                <w:sz w:val="22"/>
                <w:szCs w:val="22"/>
              </w:rPr>
              <w:t>7</w:t>
            </w:r>
          </w:p>
        </w:tc>
      </w:tr>
      <w:tr w:rsidR="00A3761F">
        <w:trPr>
          <w:trHeight w:val="3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Fine attività didattiche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93239E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Nessuno"/>
                <w:rFonts w:ascii="Gill Sans MT" w:eastAsia="Gill Sans MT" w:hAnsi="Gill Sans MT" w:cs="Gill Sans MT"/>
                <w:sz w:val="24"/>
                <w:szCs w:val="24"/>
              </w:rPr>
              <w:t xml:space="preserve">GENNAIO </w:t>
            </w:r>
            <w:r w:rsidR="008A474D">
              <w:rPr>
                <w:rStyle w:val="Nessuno"/>
                <w:rFonts w:ascii="Gill Sans MT" w:eastAsia="Gill Sans MT" w:hAnsi="Gill Sans MT" w:cs="Gill Sans MT"/>
                <w:sz w:val="24"/>
                <w:szCs w:val="24"/>
              </w:rPr>
              <w:t>2018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proofErr w:type="spellStart"/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Syllabus</w:t>
            </w:r>
            <w:proofErr w:type="spellEnd"/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  </w:t>
            </w:r>
          </w:p>
        </w:tc>
      </w:tr>
      <w:tr w:rsidR="00A3761F">
        <w:trPr>
          <w:trHeight w:val="4095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Prerequisiti</w:t>
            </w:r>
          </w:p>
          <w:p w:rsidR="00A3761F" w:rsidRDefault="00A3761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</w:pPr>
          </w:p>
          <w:p w:rsidR="00A3761F" w:rsidRDefault="00A3761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</w:pPr>
          </w:p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Risultati di apprendimento previsti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Style w:val="Nessuno"/>
                <w:i/>
                <w:iCs/>
              </w:rPr>
            </w:pPr>
          </w:p>
          <w:p w:rsidR="00BF7D06" w:rsidRPr="00BF7D06" w:rsidRDefault="00BF7D06" w:rsidP="00BF7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Al termine del corso lo studente dovrà dimostrare di avere acqu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i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sito:</w:t>
            </w:r>
          </w:p>
          <w:p w:rsidR="00BF7D06" w:rsidRPr="00BF7D06" w:rsidRDefault="00BF7D06" w:rsidP="00BF7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contextualSpacing/>
              <w:jc w:val="both"/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BF7D06">
              <w:rPr>
                <w:rFonts w:ascii="Gill Sans MT" w:eastAsia="MS Mincho" w:hAnsi="Gill Sans MT" w:cs="Times New Roman"/>
                <w:b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conoscenza e capacità di comprensione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: concetti g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e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nerali di </w:t>
            </w:r>
            <w:proofErr w:type="spellStart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di</w:t>
            </w:r>
            <w:proofErr w:type="spellEnd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sovraccarico motorio e sportivo responsabile della insorgenza delle patologie degenerative e traumatiche,</w:t>
            </w:r>
          </w:p>
          <w:p w:rsidR="00BF7D06" w:rsidRPr="00BF7D06" w:rsidRDefault="00BF7D06" w:rsidP="00BF7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contextualSpacing/>
              <w:jc w:val="both"/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BF7D06">
              <w:rPr>
                <w:rFonts w:ascii="Gill Sans MT" w:eastAsia="MS Mincho" w:hAnsi="Gill Sans MT" w:cs="Times New Roman"/>
                <w:b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Conoscenza e capacità di comprensione, applicata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: problematiche 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un programma </w:t>
            </w:r>
            <w:proofErr w:type="spellStart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riatletizzazione</w:t>
            </w:r>
            <w:proofErr w:type="spellEnd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in soggetti i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n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fortunati</w:t>
            </w:r>
          </w:p>
          <w:p w:rsidR="00BF7D06" w:rsidRPr="00BF7D06" w:rsidRDefault="00BF7D06" w:rsidP="00BF7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contextualSpacing/>
              <w:jc w:val="both"/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BF7D06">
              <w:rPr>
                <w:rFonts w:ascii="Gill Sans MT" w:eastAsia="MS Mincho" w:hAnsi="Gill Sans MT" w:cs="Times New Roman"/>
                <w:b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Autonomia di giudizio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: valutazione </w:t>
            </w:r>
            <w:r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di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un programma </w:t>
            </w:r>
            <w:proofErr w:type="spellStart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riatletizzazione</w:t>
            </w:r>
            <w:proofErr w:type="spellEnd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in soggetti infortunati</w:t>
            </w:r>
          </w:p>
          <w:p w:rsidR="00BF7D06" w:rsidRDefault="00BF7D06" w:rsidP="00BF7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contextualSpacing/>
              <w:jc w:val="both"/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BF7D06">
              <w:rPr>
                <w:rFonts w:ascii="Gill Sans MT" w:eastAsia="MS Mincho" w:hAnsi="Gill Sans MT" w:cs="Times New Roman"/>
                <w:b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Abilità comunicative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: lo studente dovrà essere in grado di comunicare con i principali </w:t>
            </w:r>
            <w:proofErr w:type="spellStart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stakeholders</w:t>
            </w:r>
            <w:proofErr w:type="spellEnd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coinvolti nelle attiv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i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>tà di prevenzione</w:t>
            </w:r>
            <w:r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 di sovraccarico muscolo-scheletrico</w:t>
            </w:r>
          </w:p>
          <w:p w:rsidR="00BF7D06" w:rsidRPr="00BF7D06" w:rsidRDefault="00BF7D06" w:rsidP="00BF7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contextualSpacing/>
              <w:jc w:val="both"/>
              <w:rPr>
                <w:rStyle w:val="Nessuno"/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proofErr w:type="spellStart"/>
            <w:r w:rsidRPr="00BF7D06">
              <w:rPr>
                <w:rFonts w:ascii="Gill Sans MT" w:eastAsia="MS Mincho" w:hAnsi="Gill Sans MT" w:cs="Times New Roman"/>
                <w:b/>
                <w:i/>
                <w:color w:val="auto"/>
                <w:sz w:val="22"/>
                <w:szCs w:val="22"/>
                <w:bdr w:val="none" w:sz="0" w:space="0" w:color="auto"/>
              </w:rPr>
              <w:t>Capacità</w:t>
            </w:r>
            <w:proofErr w:type="spellEnd"/>
            <w:r w:rsidRPr="00BF7D06">
              <w:rPr>
                <w:rFonts w:ascii="Gill Sans MT" w:eastAsia="MS Mincho" w:hAnsi="Gill Sans MT" w:cs="Times New Roman"/>
                <w:b/>
                <w:i/>
                <w:color w:val="auto"/>
                <w:sz w:val="22"/>
                <w:szCs w:val="22"/>
                <w:bdr w:val="none" w:sz="0" w:space="0" w:color="auto"/>
              </w:rPr>
              <w:t xml:space="preserve"> di </w:t>
            </w:r>
            <w:proofErr w:type="spellStart"/>
            <w:r w:rsidRPr="00BF7D06">
              <w:rPr>
                <w:rFonts w:ascii="Gill Sans MT" w:eastAsia="MS Mincho" w:hAnsi="Gill Sans MT" w:cs="Times New Roman"/>
                <w:b/>
                <w:i/>
                <w:color w:val="auto"/>
                <w:sz w:val="22"/>
                <w:szCs w:val="22"/>
                <w:bdr w:val="none" w:sz="0" w:space="0" w:color="auto"/>
              </w:rPr>
              <w:t>apprendere</w:t>
            </w:r>
            <w:proofErr w:type="spellEnd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: </w:t>
            </w:r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base </w:t>
            </w:r>
            <w:proofErr w:type="spellStart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>della</w:t>
            </w:r>
            <w:proofErr w:type="spellEnd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>ria</w:t>
            </w:r>
            <w:r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>tlatizzazione</w:t>
            </w:r>
            <w:proofErr w:type="spellEnd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>nell’ambito</w:t>
            </w:r>
            <w:proofErr w:type="spellEnd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BF7D06">
              <w:rPr>
                <w:rFonts w:ascii="Gill Sans MT" w:eastAsia="MS Mincho" w:hAnsi="Gill Sans MT" w:cs="Times New Roman"/>
                <w:i/>
                <w:color w:val="auto"/>
                <w:sz w:val="22"/>
                <w:szCs w:val="22"/>
                <w:bdr w:val="none" w:sz="0" w:space="0" w:color="auto"/>
              </w:rPr>
              <w:t>sportivo</w:t>
            </w:r>
            <w:proofErr w:type="spellEnd"/>
          </w:p>
          <w:p w:rsidR="00BF7D06" w:rsidRDefault="00BF7D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Style w:val="Nessuno"/>
                <w:i/>
                <w:iCs/>
              </w:rPr>
            </w:pPr>
          </w:p>
          <w:p w:rsidR="0093239E" w:rsidRDefault="0093239E" w:rsidP="00BF7D06">
            <w:pPr>
              <w:pStyle w:val="CorpoA"/>
              <w:ind w:left="360"/>
              <w:jc w:val="both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 xml:space="preserve"> </w:t>
            </w:r>
          </w:p>
        </w:tc>
      </w:tr>
      <w:tr w:rsidR="00A3761F">
        <w:trPr>
          <w:trHeight w:val="1906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Contenuti di insegnamento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</w:tcPr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PATOLOGIE DELL’APPARATO LOCOMOTORE Osteoartrosi </w:t>
            </w:r>
          </w:p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Osteoporosi </w:t>
            </w:r>
          </w:p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Tendini, tendinopatie e sovraccarico muscolo-tendineo </w:t>
            </w:r>
          </w:p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Biomeccanica del rachide </w:t>
            </w:r>
          </w:p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Lombalgia e discopatie </w:t>
            </w:r>
          </w:p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Scoliosi </w:t>
            </w:r>
          </w:p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TRAUMATOLOGIA DELLO SPORT </w:t>
            </w:r>
          </w:p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Traumatologia generale </w:t>
            </w:r>
          </w:p>
          <w:p w:rsidR="008A14A1" w:rsidRDefault="008A14A1" w:rsidP="008A14A1">
            <w:pPr>
              <w:pStyle w:val="DidefaultA"/>
              <w:spacing w:after="120" w:line="276" w:lineRule="auto"/>
              <w:ind w:right="424"/>
              <w:rPr>
                <w:rFonts w:hint="eastAsia"/>
              </w:rPr>
            </w:pPr>
            <w:r>
              <w:t xml:space="preserve">Traumi muscolari </w:t>
            </w:r>
          </w:p>
          <w:p w:rsidR="00A3761F" w:rsidRDefault="008A14A1" w:rsidP="008A14A1">
            <w:pPr>
              <w:pStyle w:val="DidefaultA"/>
              <w:spacing w:after="120" w:line="276" w:lineRule="auto"/>
              <w:ind w:right="424"/>
              <w:rPr>
                <w:rFonts w:ascii="Gill Sans MT" w:eastAsia="Gill Sans MT" w:hAnsi="Gill Sans MT" w:cs="Gill Sans MT"/>
                <w:i/>
                <w:iCs/>
              </w:rPr>
            </w:pPr>
            <w:r>
              <w:t>Lesioni di: gomito, ginocchio, piede, rachide, caviglia, coscia, pelvi e anca, gamba, mano, spalla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Programma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</w:p>
        </w:tc>
      </w:tr>
      <w:tr w:rsidR="00A3761F">
        <w:trPr>
          <w:trHeight w:val="6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lastRenderedPageBreak/>
              <w:t>Testi di riferimento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4A1" w:rsidRPr="008A14A1" w:rsidRDefault="008A14A1" w:rsidP="008A14A1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Style w:val="Nessuno"/>
              </w:rPr>
            </w:pPr>
            <w:r w:rsidRPr="008A14A1">
              <w:rPr>
                <w:rStyle w:val="Nessuno"/>
              </w:rPr>
              <w:t xml:space="preserve">Ortopedia illustrata. Pipino F. , Patella V. , Moretti B. , Martucci G. , </w:t>
            </w:r>
            <w:proofErr w:type="spellStart"/>
            <w:r w:rsidRPr="008A14A1">
              <w:rPr>
                <w:rStyle w:val="Nessuno"/>
              </w:rPr>
              <w:t>Cuppone</w:t>
            </w:r>
            <w:proofErr w:type="spellEnd"/>
            <w:r w:rsidRPr="008A14A1">
              <w:rPr>
                <w:rStyle w:val="Nessuno"/>
              </w:rPr>
              <w:t xml:space="preserve"> F. Editore MASSON</w:t>
            </w:r>
          </w:p>
          <w:p w:rsidR="00A3761F" w:rsidRDefault="008A14A1" w:rsidP="008A14A1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8A14A1">
              <w:rPr>
                <w:rStyle w:val="Nessuno"/>
              </w:rPr>
              <w:t>Clinica Ortopedica. Mancini A., Morlacchi C.</w:t>
            </w:r>
            <w:r w:rsidR="00BF7D06">
              <w:rPr>
                <w:rStyle w:val="Nessuno"/>
              </w:rPr>
              <w:t xml:space="preserve"> </w:t>
            </w:r>
            <w:r w:rsidRPr="008A14A1">
              <w:rPr>
                <w:rStyle w:val="Nessuno"/>
              </w:rPr>
              <w:t>Editore PICCIN-NUOVA LIBRARIA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Note ai testi di riferimento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Metodi didattici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Lezione frontale</w:t>
            </w:r>
          </w:p>
        </w:tc>
      </w:tr>
      <w:tr w:rsidR="00A3761F">
        <w:trPr>
          <w:trHeight w:val="87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 w:rsidP="00BF7D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Metodi di valutazione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Esame orale</w:t>
            </w:r>
          </w:p>
        </w:tc>
      </w:tr>
      <w:tr w:rsidR="00A3761F">
        <w:trPr>
          <w:trHeight w:val="239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 w:rsidP="00BF7D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Criteri di valutazione 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Pr="008A14A1" w:rsidRDefault="008A474D" w:rsidP="008A14A1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Gill Sans MT" w:eastAsia="Gill Sans MT" w:hAnsi="Gill Sans MT" w:cs="Gill Sans MT"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Lo studente deve </w:t>
            </w:r>
            <w:r w:rsid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essere in grado di prevedere</w:t>
            </w:r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 </w:t>
            </w:r>
            <w:r w:rsid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il rischio di</w:t>
            </w:r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sovrac</w:t>
            </w:r>
            <w:proofErr w:type="spellEnd"/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-carico </w:t>
            </w:r>
            <w:r w:rsid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dell’apparato locomotore e mettere in atto le adeguate strategie di prevenzione, deve saper pianificare </w:t>
            </w:r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un programma </w:t>
            </w:r>
            <w:proofErr w:type="spellStart"/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riatletizzazione</w:t>
            </w:r>
            <w:proofErr w:type="spellEnd"/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 </w:t>
            </w:r>
            <w:r w:rsid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e un programma che prevenga il rischio di info</w:t>
            </w:r>
            <w:r w:rsid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r</w:t>
            </w:r>
            <w:r w:rsid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tunio, c</w:t>
            </w:r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onoscere </w:t>
            </w:r>
            <w:r w:rsid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i tempi di ripresa sportiva dopo un lavoro di</w:t>
            </w:r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 ri</w:t>
            </w:r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a</w:t>
            </w:r>
            <w:r w:rsidR="008A14A1" w:rsidRPr="008A14A1"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bilitazione 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BF7D06">
            <w:proofErr w:type="spellStart"/>
            <w:r>
              <w:t>Ricevimento</w:t>
            </w:r>
            <w:proofErr w:type="spellEnd"/>
            <w:r>
              <w:t xml:space="preserve"> da </w:t>
            </w:r>
            <w:proofErr w:type="spellStart"/>
            <w:r>
              <w:t>concordare</w:t>
            </w:r>
            <w:proofErr w:type="spellEnd"/>
            <w:r>
              <w:t xml:space="preserve"> </w:t>
            </w:r>
            <w:proofErr w:type="spellStart"/>
            <w:r>
              <w:t>previo</w:t>
            </w:r>
            <w:proofErr w:type="spellEnd"/>
            <w:r>
              <w:t xml:space="preserve"> </w:t>
            </w:r>
            <w:proofErr w:type="spellStart"/>
            <w:r>
              <w:t>accordi</w:t>
            </w:r>
            <w:proofErr w:type="spellEnd"/>
            <w:r>
              <w:t xml:space="preserve"> </w:t>
            </w:r>
            <w:proofErr w:type="spellStart"/>
            <w:r>
              <w:t>tramite</w:t>
            </w:r>
            <w:proofErr w:type="spellEnd"/>
            <w:r>
              <w:t xml:space="preserve"> email con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</w:p>
        </w:tc>
      </w:tr>
    </w:tbl>
    <w:p w:rsidR="00A3761F" w:rsidRDefault="00A3761F">
      <w:pPr>
        <w:widowControl w:val="0"/>
        <w:ind w:left="432" w:hanging="432"/>
      </w:pPr>
    </w:p>
    <w:p w:rsidR="00A3761F" w:rsidRDefault="00A3761F">
      <w:pPr>
        <w:widowControl w:val="0"/>
        <w:ind w:left="324" w:hanging="324"/>
      </w:pPr>
    </w:p>
    <w:sectPr w:rsidR="00A3761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59" w:rsidRDefault="00841559">
      <w:r>
        <w:separator/>
      </w:r>
    </w:p>
  </w:endnote>
  <w:endnote w:type="continuationSeparator" w:id="0">
    <w:p w:rsidR="00841559" w:rsidRDefault="008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1F" w:rsidRDefault="00A3761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59" w:rsidRDefault="00841559">
      <w:r>
        <w:separator/>
      </w:r>
    </w:p>
  </w:footnote>
  <w:footnote w:type="continuationSeparator" w:id="0">
    <w:p w:rsidR="00841559" w:rsidRDefault="0084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1F" w:rsidRDefault="00A3761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7360"/>
    <w:multiLevelType w:val="hybridMultilevel"/>
    <w:tmpl w:val="E36C564A"/>
    <w:lvl w:ilvl="0" w:tplc="AE2C5376">
      <w:start w:val="1"/>
      <w:numFmt w:val="bullet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E470E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D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44700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29DC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3269F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03DBA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47CE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88D4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74787C"/>
    <w:multiLevelType w:val="hybridMultilevel"/>
    <w:tmpl w:val="EE8E7978"/>
    <w:lvl w:ilvl="0" w:tplc="890E70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45E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848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E81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E9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02B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DC0BC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EC8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0D6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E2C5376">
        <w:start w:val="1"/>
        <w:numFmt w:val="bullet"/>
        <w:lvlText w:val="·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0E470E">
        <w:start w:val="1"/>
        <w:numFmt w:val="bullet"/>
        <w:lvlText w:val="o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6E74D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744700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A29DC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3269F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403DBA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647CE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088D4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761F"/>
    <w:rsid w:val="007F18A6"/>
    <w:rsid w:val="00841559"/>
    <w:rsid w:val="008A14A1"/>
    <w:rsid w:val="008A474D"/>
    <w:rsid w:val="0093239E"/>
    <w:rsid w:val="00967DFD"/>
    <w:rsid w:val="00A3761F"/>
    <w:rsid w:val="00BF7D06"/>
    <w:rsid w:val="00F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notarnicola@unib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Notarnicola</dc:creator>
  <cp:lastModifiedBy>Angela Notarnicola</cp:lastModifiedBy>
  <cp:revision>3</cp:revision>
  <dcterms:created xsi:type="dcterms:W3CDTF">2018-05-21T16:07:00Z</dcterms:created>
  <dcterms:modified xsi:type="dcterms:W3CDTF">2018-06-26T19:14:00Z</dcterms:modified>
</cp:coreProperties>
</file>