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01E3" w14:textId="77777777" w:rsidR="00717ECF" w:rsidRPr="00FC142C" w:rsidRDefault="009B07D0" w:rsidP="00FC142C">
      <w:pPr>
        <w:jc w:val="both"/>
        <w:rPr>
          <w:rFonts w:ascii="Times New Roman" w:hAnsi="Times New Roman" w:cs="Times New Roman"/>
          <w:sz w:val="24"/>
          <w:szCs w:val="24"/>
        </w:rPr>
      </w:pPr>
      <w:r w:rsidRPr="00FC142C">
        <w:rPr>
          <w:rFonts w:ascii="Times New Roman" w:hAnsi="Times New Roman" w:cs="Times New Roman"/>
          <w:sz w:val="24"/>
          <w:szCs w:val="24"/>
        </w:rPr>
        <w:t xml:space="preserve">Commento alla scheda di monitoraggio annuale 2022 (SMA) </w:t>
      </w:r>
      <w:r w:rsidR="00ED5123" w:rsidRPr="00FC142C">
        <w:rPr>
          <w:rFonts w:ascii="Times New Roman" w:hAnsi="Times New Roman" w:cs="Times New Roman"/>
          <w:sz w:val="24"/>
          <w:szCs w:val="24"/>
        </w:rPr>
        <w:t>SGI</w:t>
      </w:r>
      <w:r w:rsidRPr="00FC142C">
        <w:rPr>
          <w:rFonts w:ascii="Times New Roman" w:hAnsi="Times New Roman" w:cs="Times New Roman"/>
          <w:sz w:val="24"/>
          <w:szCs w:val="24"/>
        </w:rPr>
        <w:t xml:space="preserve"> sede di Taranto</w:t>
      </w:r>
      <w:r w:rsidR="00A31449" w:rsidRPr="00FC14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752F2B" w14:textId="77777777" w:rsidR="00524423" w:rsidRPr="00FC142C" w:rsidRDefault="00524423" w:rsidP="00FC142C">
      <w:pPr>
        <w:pStyle w:val="Default"/>
        <w:spacing w:line="276" w:lineRule="auto"/>
        <w:jc w:val="both"/>
        <w:rPr>
          <w:color w:val="auto"/>
        </w:rPr>
      </w:pPr>
    </w:p>
    <w:p w14:paraId="0F9F5CF7" w14:textId="77777777" w:rsidR="00524423" w:rsidRPr="00FC142C" w:rsidRDefault="0057737E" w:rsidP="00FC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42C">
        <w:rPr>
          <w:rFonts w:ascii="Times New Roman" w:hAnsi="Times New Roman" w:cs="Times New Roman"/>
          <w:sz w:val="24"/>
          <w:szCs w:val="24"/>
        </w:rPr>
        <w:t>Indicatori generali</w:t>
      </w:r>
    </w:p>
    <w:p w14:paraId="0BB3C709" w14:textId="7C05B213" w:rsidR="0045693F" w:rsidRPr="00237AC2" w:rsidRDefault="009B07D0" w:rsidP="00FC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>L’indicatore iC00a relativo agli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 avvii di carriera al </w:t>
      </w:r>
      <w:proofErr w:type="gramStart"/>
      <w:r w:rsidR="00A31449" w:rsidRPr="00237AC2">
        <w:rPr>
          <w:rFonts w:ascii="Times New Roman" w:hAnsi="Times New Roman" w:cs="Times New Roman"/>
          <w:sz w:val="24"/>
          <w:szCs w:val="24"/>
        </w:rPr>
        <w:t>1°</w:t>
      </w:r>
      <w:proofErr w:type="gramEnd"/>
      <w:r w:rsidR="00A31449" w:rsidRPr="00237AC2">
        <w:rPr>
          <w:rFonts w:ascii="Times New Roman" w:hAnsi="Times New Roman" w:cs="Times New Roman"/>
          <w:sz w:val="24"/>
          <w:szCs w:val="24"/>
        </w:rPr>
        <w:t xml:space="preserve"> anno della </w:t>
      </w:r>
      <w:r w:rsidR="00ED5123" w:rsidRPr="00237AC2">
        <w:rPr>
          <w:rFonts w:ascii="Times New Roman" w:hAnsi="Times New Roman" w:cs="Times New Roman"/>
          <w:sz w:val="24"/>
          <w:szCs w:val="24"/>
        </w:rPr>
        <w:t>SGI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 nel 202</w:t>
      </w:r>
      <w:r w:rsidR="00BA03C5" w:rsidRPr="00237AC2">
        <w:rPr>
          <w:rFonts w:ascii="Times New Roman" w:hAnsi="Times New Roman" w:cs="Times New Roman"/>
          <w:sz w:val="24"/>
          <w:szCs w:val="24"/>
        </w:rPr>
        <w:t>2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 (</w:t>
      </w:r>
      <w:r w:rsidR="00ED5123" w:rsidRPr="00237AC2">
        <w:rPr>
          <w:rFonts w:ascii="Times New Roman" w:hAnsi="Times New Roman" w:cs="Times New Roman"/>
          <w:sz w:val="24"/>
          <w:szCs w:val="24"/>
        </w:rPr>
        <w:t>2</w:t>
      </w:r>
      <w:r w:rsidR="00BA03C5" w:rsidRPr="00237AC2">
        <w:rPr>
          <w:rFonts w:ascii="Times New Roman" w:hAnsi="Times New Roman" w:cs="Times New Roman"/>
          <w:sz w:val="24"/>
          <w:szCs w:val="24"/>
        </w:rPr>
        <w:t>4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) </w:t>
      </w:r>
      <w:r w:rsidRPr="00237AC2">
        <w:rPr>
          <w:rFonts w:ascii="Times New Roman" w:hAnsi="Times New Roman" w:cs="Times New Roman"/>
          <w:sz w:val="24"/>
          <w:szCs w:val="24"/>
        </w:rPr>
        <w:t xml:space="preserve">riporta un valore </w:t>
      </w:r>
      <w:r w:rsidR="00ED5123" w:rsidRPr="00237AC2">
        <w:rPr>
          <w:rFonts w:ascii="Times New Roman" w:hAnsi="Times New Roman" w:cs="Times New Roman"/>
          <w:sz w:val="24"/>
          <w:szCs w:val="24"/>
        </w:rPr>
        <w:t>superiore</w:t>
      </w:r>
      <w:r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="00A31449" w:rsidRPr="00237AC2">
        <w:rPr>
          <w:rFonts w:ascii="Times New Roman" w:hAnsi="Times New Roman" w:cs="Times New Roman"/>
          <w:sz w:val="24"/>
          <w:szCs w:val="24"/>
        </w:rPr>
        <w:t>rispetto al 202</w:t>
      </w:r>
      <w:r w:rsidR="00BA03C5" w:rsidRPr="00237AC2">
        <w:rPr>
          <w:rFonts w:ascii="Times New Roman" w:hAnsi="Times New Roman" w:cs="Times New Roman"/>
          <w:sz w:val="24"/>
          <w:szCs w:val="24"/>
        </w:rPr>
        <w:t>1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 (</w:t>
      </w:r>
      <w:r w:rsidR="00ED5123" w:rsidRPr="00237AC2">
        <w:rPr>
          <w:rFonts w:ascii="Times New Roman" w:hAnsi="Times New Roman" w:cs="Times New Roman"/>
          <w:sz w:val="24"/>
          <w:szCs w:val="24"/>
        </w:rPr>
        <w:t>19</w:t>
      </w:r>
      <w:r w:rsidR="00A31449" w:rsidRPr="00237AC2">
        <w:rPr>
          <w:rFonts w:ascii="Times New Roman" w:hAnsi="Times New Roman" w:cs="Times New Roman"/>
          <w:sz w:val="24"/>
          <w:szCs w:val="24"/>
        </w:rPr>
        <w:t>). Il valore per il 202</w:t>
      </w:r>
      <w:r w:rsidR="003E41F3" w:rsidRPr="00237AC2">
        <w:rPr>
          <w:rFonts w:ascii="Times New Roman" w:hAnsi="Times New Roman" w:cs="Times New Roman"/>
          <w:sz w:val="24"/>
          <w:szCs w:val="24"/>
        </w:rPr>
        <w:t>2</w:t>
      </w:r>
      <w:r w:rsidR="00ED5123" w:rsidRPr="00237AC2">
        <w:rPr>
          <w:rFonts w:ascii="Times New Roman" w:hAnsi="Times New Roman" w:cs="Times New Roman"/>
          <w:sz w:val="24"/>
          <w:szCs w:val="24"/>
        </w:rPr>
        <w:t xml:space="preserve"> è, tuttavia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, inferiore a quello </w:t>
      </w:r>
      <w:r w:rsidR="00ED5123" w:rsidRPr="00237AC2">
        <w:rPr>
          <w:rFonts w:ascii="Times New Roman" w:hAnsi="Times New Roman" w:cs="Times New Roman"/>
          <w:sz w:val="24"/>
          <w:szCs w:val="24"/>
        </w:rPr>
        <w:t xml:space="preserve">di Ateneo (68), </w:t>
      </w:r>
      <w:r w:rsidR="00A31449" w:rsidRPr="00237AC2">
        <w:rPr>
          <w:rFonts w:ascii="Times New Roman" w:hAnsi="Times New Roman" w:cs="Times New Roman"/>
          <w:sz w:val="24"/>
          <w:szCs w:val="24"/>
        </w:rPr>
        <w:t>per Area geografica (</w:t>
      </w:r>
      <w:r w:rsidR="00ED5123" w:rsidRPr="00237AC2">
        <w:rPr>
          <w:rFonts w:ascii="Times New Roman" w:hAnsi="Times New Roman" w:cs="Times New Roman"/>
          <w:sz w:val="24"/>
          <w:szCs w:val="24"/>
        </w:rPr>
        <w:t>117,95</w:t>
      </w:r>
      <w:r w:rsidR="00A31449" w:rsidRPr="00237AC2">
        <w:rPr>
          <w:rFonts w:ascii="Times New Roman" w:hAnsi="Times New Roman" w:cs="Times New Roman"/>
          <w:sz w:val="24"/>
          <w:szCs w:val="24"/>
        </w:rPr>
        <w:t>)</w:t>
      </w:r>
      <w:r w:rsidR="00ED5123" w:rsidRPr="00237AC2">
        <w:rPr>
          <w:rFonts w:ascii="Times New Roman" w:hAnsi="Times New Roman" w:cs="Times New Roman"/>
          <w:sz w:val="24"/>
          <w:szCs w:val="24"/>
        </w:rPr>
        <w:t xml:space="preserve"> e nazionale (139,82)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. </w:t>
      </w:r>
      <w:r w:rsidR="00524423" w:rsidRPr="00237AC2">
        <w:rPr>
          <w:rFonts w:ascii="Times New Roman" w:hAnsi="Times New Roman" w:cs="Times New Roman"/>
          <w:sz w:val="24"/>
          <w:szCs w:val="24"/>
        </w:rPr>
        <w:t>Tuttavia</w:t>
      </w:r>
      <w:r w:rsidR="00237AC2" w:rsidRPr="00237AC2">
        <w:rPr>
          <w:rFonts w:ascii="Times New Roman" w:hAnsi="Times New Roman" w:cs="Times New Roman"/>
          <w:sz w:val="24"/>
          <w:szCs w:val="24"/>
        </w:rPr>
        <w:t>,</w:t>
      </w:r>
      <w:r w:rsidR="00524423" w:rsidRPr="00237AC2">
        <w:rPr>
          <w:rFonts w:ascii="Times New Roman" w:hAnsi="Times New Roman" w:cs="Times New Roman"/>
          <w:sz w:val="24"/>
          <w:szCs w:val="24"/>
        </w:rPr>
        <w:t xml:space="preserve"> l</w:t>
      </w:r>
      <w:r w:rsidR="003E41F3" w:rsidRPr="00237AC2">
        <w:rPr>
          <w:rFonts w:ascii="Times New Roman" w:hAnsi="Times New Roman" w:cs="Times New Roman"/>
          <w:sz w:val="24"/>
          <w:szCs w:val="24"/>
        </w:rPr>
        <w:t>o stesso valore iC00a</w:t>
      </w:r>
      <w:r w:rsidR="00ED5123" w:rsidRPr="00237AC2">
        <w:rPr>
          <w:rFonts w:ascii="Times New Roman" w:hAnsi="Times New Roman" w:cs="Times New Roman"/>
          <w:sz w:val="24"/>
          <w:szCs w:val="24"/>
        </w:rPr>
        <w:t xml:space="preserve">, anno 2021, è in calo per Ateneo (78), per Area geografica (121,84) e nazionale (144,38). </w:t>
      </w:r>
      <w:r w:rsidR="00FC142C" w:rsidRPr="00237AC2">
        <w:rPr>
          <w:rFonts w:ascii="Times New Roman" w:hAnsi="Times New Roman" w:cs="Times New Roman"/>
          <w:sz w:val="24"/>
          <w:szCs w:val="24"/>
        </w:rPr>
        <w:t xml:space="preserve">Gli immatricolati puri (iC00b) </w:t>
      </w:r>
      <w:r w:rsidR="0045693F" w:rsidRPr="00237AC2">
        <w:rPr>
          <w:rFonts w:ascii="Times New Roman" w:hAnsi="Times New Roman" w:cs="Times New Roman"/>
          <w:sz w:val="24"/>
          <w:szCs w:val="24"/>
        </w:rPr>
        <w:t xml:space="preserve">tuttavia </w:t>
      </w:r>
      <w:r w:rsidR="00FC142C" w:rsidRPr="00237AC2">
        <w:rPr>
          <w:rFonts w:ascii="Times New Roman" w:hAnsi="Times New Roman" w:cs="Times New Roman"/>
          <w:sz w:val="24"/>
          <w:szCs w:val="24"/>
        </w:rPr>
        <w:t xml:space="preserve">sono stati 12 nel 2022 in calo rispetto al 2021 (18). </w:t>
      </w:r>
    </w:p>
    <w:p w14:paraId="6FBE291F" w14:textId="1B75A7D1" w:rsidR="00DC7E0B" w:rsidRPr="00237AC2" w:rsidRDefault="009F1604" w:rsidP="00FC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>I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 numeri </w:t>
      </w:r>
      <w:r w:rsidRPr="00237AC2">
        <w:rPr>
          <w:rFonts w:ascii="Times New Roman" w:hAnsi="Times New Roman" w:cs="Times New Roman"/>
          <w:sz w:val="24"/>
          <w:szCs w:val="24"/>
        </w:rPr>
        <w:t xml:space="preserve">degli iscritti 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vanno letti ed interpretati </w:t>
      </w:r>
      <w:r w:rsidR="00FC142C" w:rsidRPr="00237AC2">
        <w:rPr>
          <w:rFonts w:ascii="Times New Roman" w:hAnsi="Times New Roman" w:cs="Times New Roman"/>
          <w:sz w:val="24"/>
          <w:szCs w:val="24"/>
        </w:rPr>
        <w:t>comunque</w:t>
      </w:r>
      <w:r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alla luce della elevata percentuale di soddisfazione </w:t>
      </w:r>
      <w:r w:rsidR="00D44C10" w:rsidRPr="00237AC2">
        <w:rPr>
          <w:rFonts w:ascii="Times New Roman" w:hAnsi="Times New Roman" w:cs="Times New Roman"/>
          <w:sz w:val="24"/>
          <w:szCs w:val="24"/>
        </w:rPr>
        <w:t xml:space="preserve">degli </w:t>
      </w:r>
      <w:r w:rsidR="00524423" w:rsidRPr="00237AC2">
        <w:rPr>
          <w:rFonts w:ascii="Times New Roman" w:hAnsi="Times New Roman" w:cs="Times New Roman"/>
          <w:sz w:val="24"/>
          <w:szCs w:val="24"/>
        </w:rPr>
        <w:t xml:space="preserve">stessi </w:t>
      </w:r>
      <w:r w:rsidR="00D44C10" w:rsidRPr="00237AC2">
        <w:rPr>
          <w:rFonts w:ascii="Times New Roman" w:hAnsi="Times New Roman" w:cs="Times New Roman"/>
          <w:sz w:val="24"/>
          <w:szCs w:val="24"/>
        </w:rPr>
        <w:t>iscritti</w:t>
      </w:r>
      <w:r w:rsidR="00DC7E0B" w:rsidRPr="00237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C8FB5" w14:textId="77777777" w:rsidR="00DC7E0B" w:rsidRPr="00237AC2" w:rsidRDefault="00DC7E0B" w:rsidP="00FC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>(</w:t>
      </w:r>
      <w:r w:rsidR="009262C1" w:rsidRPr="00237AC2">
        <w:rPr>
          <w:rFonts w:ascii="Times New Roman" w:hAnsi="Times New Roman" w:cs="Times New Roman"/>
          <w:sz w:val="24"/>
          <w:szCs w:val="24"/>
        </w:rPr>
        <w:t xml:space="preserve">98,45 </w:t>
      </w:r>
      <w:r w:rsidRPr="00237AC2">
        <w:rPr>
          <w:rFonts w:ascii="Times New Roman" w:hAnsi="Times New Roman" w:cs="Times New Roman"/>
          <w:sz w:val="24"/>
          <w:szCs w:val="24"/>
        </w:rPr>
        <w:t xml:space="preserve">% </w:t>
      </w:r>
      <w:r w:rsidR="009262C1" w:rsidRPr="00237AC2">
        <w:rPr>
          <w:rFonts w:ascii="Times New Roman" w:hAnsi="Times New Roman" w:cs="Times New Roman"/>
          <w:sz w:val="24"/>
          <w:szCs w:val="24"/>
        </w:rPr>
        <w:t>reportanvur.ict.uniba.it/birt/</w:t>
      </w:r>
      <w:proofErr w:type="gramStart"/>
      <w:r w:rsidR="009262C1" w:rsidRPr="00237AC2">
        <w:rPr>
          <w:rFonts w:ascii="Times New Roman" w:hAnsi="Times New Roman" w:cs="Times New Roman"/>
          <w:sz w:val="24"/>
          <w:szCs w:val="24"/>
        </w:rPr>
        <w:t>run?_</w:t>
      </w:r>
      <w:proofErr w:type="gramEnd"/>
      <w:r w:rsidR="009262C1" w:rsidRPr="00237AC2">
        <w:rPr>
          <w:rFonts w:ascii="Times New Roman" w:hAnsi="Times New Roman" w:cs="Times New Roman"/>
          <w:sz w:val="24"/>
          <w:szCs w:val="24"/>
        </w:rPr>
        <w:t>_report=Anvur_2021_CorsoBackup.rptdesign&amp;__format=html&amp;RP_Fac_id=1014&amp;RP_Cds_id=10718&amp;__locale=it_IT&amp;__svg=true&amp;__designer=false</w:t>
      </w:r>
      <w:r w:rsidRPr="00237AC2">
        <w:rPr>
          <w:rFonts w:ascii="Times New Roman" w:hAnsi="Times New Roman" w:cs="Times New Roman"/>
          <w:sz w:val="24"/>
          <w:szCs w:val="24"/>
        </w:rPr>
        <w:t>)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1FFED" w14:textId="349F50E5" w:rsidR="00C11DF3" w:rsidRPr="00237AC2" w:rsidRDefault="00A31449" w:rsidP="00FC142C">
      <w:pPr>
        <w:pStyle w:val="Default"/>
        <w:spacing w:line="276" w:lineRule="auto"/>
        <w:jc w:val="both"/>
        <w:rPr>
          <w:color w:val="auto"/>
        </w:rPr>
      </w:pPr>
      <w:r w:rsidRPr="00237AC2">
        <w:rPr>
          <w:color w:val="auto"/>
        </w:rPr>
        <w:t xml:space="preserve">Con riferimento agli altri indicatori del gruppo iC00a-iC00h, va segnalato </w:t>
      </w:r>
      <w:r w:rsidR="003B7303" w:rsidRPr="00237AC2">
        <w:rPr>
          <w:color w:val="auto"/>
        </w:rPr>
        <w:t>che il</w:t>
      </w:r>
      <w:r w:rsidRPr="00237AC2">
        <w:rPr>
          <w:color w:val="auto"/>
        </w:rPr>
        <w:t xml:space="preserve"> numero di </w:t>
      </w:r>
      <w:r w:rsidR="009B7099" w:rsidRPr="00237AC2">
        <w:rPr>
          <w:color w:val="auto"/>
        </w:rPr>
        <w:t>l</w:t>
      </w:r>
      <w:r w:rsidRPr="00237AC2">
        <w:rPr>
          <w:color w:val="auto"/>
        </w:rPr>
        <w:t>aureati entro la durata normale del corso (iC00g) è stato nel 202</w:t>
      </w:r>
      <w:r w:rsidR="005E6F49" w:rsidRPr="00237AC2">
        <w:rPr>
          <w:color w:val="auto"/>
        </w:rPr>
        <w:t xml:space="preserve">2 </w:t>
      </w:r>
      <w:r w:rsidR="003B7303" w:rsidRPr="00237AC2">
        <w:rPr>
          <w:color w:val="auto"/>
        </w:rPr>
        <w:t xml:space="preserve">pari a 0 trattandosi di un </w:t>
      </w:r>
      <w:proofErr w:type="spellStart"/>
      <w:r w:rsidR="003B7303" w:rsidRPr="00237AC2">
        <w:rPr>
          <w:color w:val="auto"/>
        </w:rPr>
        <w:t>CdS</w:t>
      </w:r>
      <w:proofErr w:type="spellEnd"/>
      <w:r w:rsidR="003B7303" w:rsidRPr="00237AC2">
        <w:rPr>
          <w:color w:val="auto"/>
        </w:rPr>
        <w:t xml:space="preserve"> attivo dall’</w:t>
      </w:r>
      <w:proofErr w:type="spellStart"/>
      <w:r w:rsidR="003B7303" w:rsidRPr="00237AC2">
        <w:rPr>
          <w:color w:val="auto"/>
        </w:rPr>
        <w:t>a.a</w:t>
      </w:r>
      <w:proofErr w:type="spellEnd"/>
      <w:r w:rsidR="003B7303" w:rsidRPr="00237AC2">
        <w:rPr>
          <w:color w:val="auto"/>
        </w:rPr>
        <w:t>. 2018-2019. Sebbene con riferimento</w:t>
      </w:r>
      <w:r w:rsidR="00CA6DDB" w:rsidRPr="00237AC2">
        <w:rPr>
          <w:color w:val="auto"/>
        </w:rPr>
        <w:t xml:space="preserve"> all’</w:t>
      </w:r>
      <w:r w:rsidR="003B7303" w:rsidRPr="00237AC2">
        <w:rPr>
          <w:color w:val="auto"/>
        </w:rPr>
        <w:t xml:space="preserve">indicatore iC02 </w:t>
      </w:r>
      <w:r w:rsidR="006B6CEB" w:rsidRPr="00237AC2">
        <w:rPr>
          <w:color w:val="auto"/>
        </w:rPr>
        <w:t>–</w:t>
      </w:r>
      <w:r w:rsidR="003B7303" w:rsidRPr="00237AC2">
        <w:rPr>
          <w:color w:val="auto"/>
        </w:rPr>
        <w:t xml:space="preserve"> percentuale di laureati entr</w:t>
      </w:r>
      <w:r w:rsidR="00547F76" w:rsidRPr="00237AC2">
        <w:rPr>
          <w:color w:val="auto"/>
        </w:rPr>
        <w:t>o la durata normale del Corso –,</w:t>
      </w:r>
      <w:r w:rsidR="003B7303" w:rsidRPr="00237AC2">
        <w:rPr>
          <w:color w:val="auto"/>
        </w:rPr>
        <w:t xml:space="preserve"> per lo stesso motivo appena segnalato</w:t>
      </w:r>
      <w:r w:rsidR="00547F76" w:rsidRPr="00237AC2">
        <w:rPr>
          <w:color w:val="auto"/>
        </w:rPr>
        <w:t>,</w:t>
      </w:r>
      <w:r w:rsidR="003B7303" w:rsidRPr="00237AC2">
        <w:rPr>
          <w:color w:val="auto"/>
        </w:rPr>
        <w:t xml:space="preserve"> abbiamo un valore pari a 0, con riguardo alla percentuale di laureati entro un anno oltre la durata normale del corso (iC02</w:t>
      </w:r>
      <w:r w:rsidR="00547F76" w:rsidRPr="00237AC2">
        <w:rPr>
          <w:color w:val="auto"/>
        </w:rPr>
        <w:t>bis</w:t>
      </w:r>
      <w:r w:rsidR="003B7303" w:rsidRPr="00237AC2">
        <w:rPr>
          <w:color w:val="auto"/>
        </w:rPr>
        <w:t>) emerge un</w:t>
      </w:r>
      <w:r w:rsidR="0045693F" w:rsidRPr="00237AC2">
        <w:rPr>
          <w:color w:val="auto"/>
        </w:rPr>
        <w:t xml:space="preserve"> dato</w:t>
      </w:r>
      <w:r w:rsidR="003B7303" w:rsidRPr="00237AC2">
        <w:rPr>
          <w:color w:val="auto"/>
        </w:rPr>
        <w:t xml:space="preserve"> (50%) nettamente maggiore rispetto </w:t>
      </w:r>
      <w:r w:rsidR="0045693F" w:rsidRPr="00237AC2">
        <w:rPr>
          <w:color w:val="auto"/>
        </w:rPr>
        <w:t>a quello</w:t>
      </w:r>
      <w:r w:rsidR="003B7303" w:rsidRPr="00237AC2">
        <w:rPr>
          <w:color w:val="auto"/>
        </w:rPr>
        <w:t xml:space="preserve"> </w:t>
      </w:r>
      <w:r w:rsidR="00547F76" w:rsidRPr="00237AC2">
        <w:rPr>
          <w:color w:val="auto"/>
        </w:rPr>
        <w:t>di Ateneo (22,44%)</w:t>
      </w:r>
      <w:r w:rsidR="00524423" w:rsidRPr="00237AC2">
        <w:rPr>
          <w:color w:val="auto"/>
        </w:rPr>
        <w:t xml:space="preserve">. </w:t>
      </w:r>
    </w:p>
    <w:p w14:paraId="15A3F39A" w14:textId="77777777" w:rsidR="006B6CEB" w:rsidRPr="00237AC2" w:rsidRDefault="006B6CEB" w:rsidP="00FC142C">
      <w:pPr>
        <w:pStyle w:val="Default"/>
        <w:spacing w:line="276" w:lineRule="auto"/>
        <w:jc w:val="both"/>
        <w:rPr>
          <w:color w:val="auto"/>
        </w:rPr>
      </w:pPr>
    </w:p>
    <w:p w14:paraId="4DC51FE1" w14:textId="77777777" w:rsidR="002E1F07" w:rsidRPr="00237AC2" w:rsidRDefault="002E1F07" w:rsidP="00FC142C">
      <w:pPr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 xml:space="preserve">1. 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Indicatori relativi alla didattica (Gruppo A) </w:t>
      </w:r>
    </w:p>
    <w:p w14:paraId="16FC9D1A" w14:textId="77777777" w:rsidR="0045693F" w:rsidRPr="00237AC2" w:rsidRDefault="00A31449" w:rsidP="00456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 xml:space="preserve">L’analisi degli indicatori relativi alla didattica </w:t>
      </w:r>
      <w:r w:rsidR="00B6380B" w:rsidRPr="00237AC2">
        <w:rPr>
          <w:rFonts w:ascii="Times New Roman" w:hAnsi="Times New Roman" w:cs="Times New Roman"/>
          <w:sz w:val="24"/>
          <w:szCs w:val="24"/>
        </w:rPr>
        <w:t>per il</w:t>
      </w:r>
      <w:r w:rsidRPr="00237AC2">
        <w:rPr>
          <w:rFonts w:ascii="Times New Roman" w:hAnsi="Times New Roman" w:cs="Times New Roman"/>
          <w:sz w:val="24"/>
          <w:szCs w:val="24"/>
        </w:rPr>
        <w:t xml:space="preserve"> 202</w:t>
      </w:r>
      <w:r w:rsidR="00C11DF3" w:rsidRPr="00237AC2">
        <w:rPr>
          <w:rFonts w:ascii="Times New Roman" w:hAnsi="Times New Roman" w:cs="Times New Roman"/>
          <w:sz w:val="24"/>
          <w:szCs w:val="24"/>
        </w:rPr>
        <w:t>2</w:t>
      </w:r>
      <w:r w:rsidRPr="00237AC2">
        <w:rPr>
          <w:rFonts w:ascii="Times New Roman" w:hAnsi="Times New Roman" w:cs="Times New Roman"/>
          <w:sz w:val="24"/>
          <w:szCs w:val="24"/>
        </w:rPr>
        <w:t xml:space="preserve"> (per iC01, 202</w:t>
      </w:r>
      <w:r w:rsidR="00C11DF3" w:rsidRPr="00237AC2">
        <w:rPr>
          <w:rFonts w:ascii="Times New Roman" w:hAnsi="Times New Roman" w:cs="Times New Roman"/>
          <w:sz w:val="24"/>
          <w:szCs w:val="24"/>
        </w:rPr>
        <w:t>1</w:t>
      </w:r>
      <w:r w:rsidRPr="00237AC2">
        <w:rPr>
          <w:rFonts w:ascii="Times New Roman" w:hAnsi="Times New Roman" w:cs="Times New Roman"/>
          <w:sz w:val="24"/>
          <w:szCs w:val="24"/>
        </w:rPr>
        <w:t xml:space="preserve">) </w:t>
      </w:r>
      <w:r w:rsidR="00547F76" w:rsidRPr="00237AC2">
        <w:rPr>
          <w:rFonts w:ascii="Times New Roman" w:hAnsi="Times New Roman" w:cs="Times New Roman"/>
          <w:sz w:val="24"/>
          <w:szCs w:val="24"/>
        </w:rPr>
        <w:t>rileva p</w:t>
      </w:r>
      <w:r w:rsidRPr="00237AC2">
        <w:rPr>
          <w:rFonts w:ascii="Times New Roman" w:hAnsi="Times New Roman" w:cs="Times New Roman"/>
          <w:sz w:val="24"/>
          <w:szCs w:val="24"/>
        </w:rPr>
        <w:t>er l’indicatore iC01</w:t>
      </w:r>
      <w:r w:rsidR="00C11DF3" w:rsidRPr="00237AC2">
        <w:rPr>
          <w:rFonts w:ascii="Times New Roman" w:hAnsi="Times New Roman" w:cs="Times New Roman"/>
          <w:sz w:val="24"/>
          <w:szCs w:val="24"/>
        </w:rPr>
        <w:t xml:space="preserve"> (2</w:t>
      </w:r>
      <w:r w:rsidR="00547F76" w:rsidRPr="00237AC2">
        <w:rPr>
          <w:rFonts w:ascii="Times New Roman" w:hAnsi="Times New Roman" w:cs="Times New Roman"/>
          <w:sz w:val="24"/>
          <w:szCs w:val="24"/>
        </w:rPr>
        <w:t>0</w:t>
      </w:r>
      <w:r w:rsidR="005770A8" w:rsidRPr="00237AC2">
        <w:rPr>
          <w:rFonts w:ascii="Times New Roman" w:hAnsi="Times New Roman" w:cs="Times New Roman"/>
          <w:sz w:val="24"/>
          <w:szCs w:val="24"/>
        </w:rPr>
        <w:t>,</w:t>
      </w:r>
      <w:r w:rsidR="00B6380B" w:rsidRPr="00237AC2">
        <w:rPr>
          <w:rFonts w:ascii="Times New Roman" w:hAnsi="Times New Roman" w:cs="Times New Roman"/>
          <w:sz w:val="24"/>
          <w:szCs w:val="24"/>
        </w:rPr>
        <w:t>83</w:t>
      </w:r>
      <w:r w:rsidR="005770A8" w:rsidRPr="00237AC2">
        <w:rPr>
          <w:rFonts w:ascii="Times New Roman" w:hAnsi="Times New Roman" w:cs="Times New Roman"/>
          <w:sz w:val="24"/>
          <w:szCs w:val="24"/>
        </w:rPr>
        <w:t>%</w:t>
      </w:r>
      <w:r w:rsidR="00C11DF3" w:rsidRPr="00237AC2">
        <w:rPr>
          <w:rFonts w:ascii="Times New Roman" w:hAnsi="Times New Roman" w:cs="Times New Roman"/>
          <w:sz w:val="24"/>
          <w:szCs w:val="24"/>
        </w:rPr>
        <w:t>)</w:t>
      </w:r>
      <w:r w:rsidRPr="00237AC2">
        <w:rPr>
          <w:rFonts w:ascii="Times New Roman" w:hAnsi="Times New Roman" w:cs="Times New Roman"/>
          <w:sz w:val="24"/>
          <w:szCs w:val="24"/>
        </w:rPr>
        <w:t xml:space="preserve"> – percentuale di studenti iscritti entro la normale durata del </w:t>
      </w:r>
      <w:proofErr w:type="spellStart"/>
      <w:r w:rsidRPr="00237AC2">
        <w:rPr>
          <w:rFonts w:ascii="Times New Roman" w:hAnsi="Times New Roman" w:cs="Times New Roman"/>
          <w:sz w:val="24"/>
          <w:szCs w:val="24"/>
        </w:rPr>
        <w:t>Cd</w:t>
      </w:r>
      <w:r w:rsidR="0045693F" w:rsidRPr="00237AC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37AC2">
        <w:rPr>
          <w:rFonts w:ascii="Times New Roman" w:hAnsi="Times New Roman" w:cs="Times New Roman"/>
          <w:sz w:val="24"/>
          <w:szCs w:val="24"/>
        </w:rPr>
        <w:t xml:space="preserve"> che abbiano acquisito almeno 40 Cfu –</w:t>
      </w:r>
      <w:r w:rsidR="00B6380B"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="00C11DF3" w:rsidRPr="00237AC2">
        <w:rPr>
          <w:rFonts w:ascii="Times New Roman" w:hAnsi="Times New Roman" w:cs="Times New Roman"/>
          <w:sz w:val="24"/>
          <w:szCs w:val="24"/>
        </w:rPr>
        <w:t xml:space="preserve">un risultato </w:t>
      </w:r>
      <w:r w:rsidR="00B6380B" w:rsidRPr="00237AC2">
        <w:rPr>
          <w:rFonts w:ascii="Times New Roman" w:hAnsi="Times New Roman" w:cs="Times New Roman"/>
          <w:sz w:val="24"/>
          <w:szCs w:val="24"/>
        </w:rPr>
        <w:t>lievemente in calo</w:t>
      </w:r>
      <w:r w:rsidR="00C11DF3" w:rsidRPr="00237AC2">
        <w:rPr>
          <w:rFonts w:ascii="Times New Roman" w:hAnsi="Times New Roman" w:cs="Times New Roman"/>
          <w:sz w:val="24"/>
          <w:szCs w:val="24"/>
        </w:rPr>
        <w:t xml:space="preserve"> rispetto all’anno precedente (</w:t>
      </w:r>
      <w:r w:rsidR="00B6380B" w:rsidRPr="00237AC2">
        <w:rPr>
          <w:rFonts w:ascii="Times New Roman" w:hAnsi="Times New Roman" w:cs="Times New Roman"/>
          <w:sz w:val="24"/>
          <w:szCs w:val="24"/>
        </w:rPr>
        <w:t>24</w:t>
      </w:r>
      <w:r w:rsidR="005770A8" w:rsidRPr="00237AC2">
        <w:rPr>
          <w:rFonts w:ascii="Times New Roman" w:hAnsi="Times New Roman" w:cs="Times New Roman"/>
          <w:sz w:val="24"/>
          <w:szCs w:val="24"/>
        </w:rPr>
        <w:t>%</w:t>
      </w:r>
      <w:r w:rsidR="00C11DF3" w:rsidRPr="00237AC2">
        <w:rPr>
          <w:rFonts w:ascii="Times New Roman" w:hAnsi="Times New Roman" w:cs="Times New Roman"/>
          <w:sz w:val="24"/>
          <w:szCs w:val="24"/>
        </w:rPr>
        <w:t xml:space="preserve"> per il 2020)</w:t>
      </w:r>
      <w:r w:rsidR="00B6380B" w:rsidRPr="00237AC2">
        <w:rPr>
          <w:rFonts w:ascii="Times New Roman" w:hAnsi="Times New Roman" w:cs="Times New Roman"/>
          <w:sz w:val="24"/>
          <w:szCs w:val="24"/>
        </w:rPr>
        <w:t xml:space="preserve"> ma nettamente superiore rispetto al corrispondente valore di Ateneo, pari a 16,61%</w:t>
      </w:r>
      <w:r w:rsidRPr="00237AC2">
        <w:rPr>
          <w:rFonts w:ascii="Times New Roman" w:hAnsi="Times New Roman" w:cs="Times New Roman"/>
          <w:sz w:val="24"/>
          <w:szCs w:val="24"/>
        </w:rPr>
        <w:t xml:space="preserve">. Si tratta di un indicatore </w:t>
      </w:r>
      <w:r w:rsidR="00B6380B" w:rsidRPr="00237AC2">
        <w:rPr>
          <w:rFonts w:ascii="Times New Roman" w:hAnsi="Times New Roman" w:cs="Times New Roman"/>
          <w:sz w:val="24"/>
          <w:szCs w:val="24"/>
        </w:rPr>
        <w:t>comunque supportato</w:t>
      </w:r>
      <w:r w:rsidRPr="00237AC2">
        <w:rPr>
          <w:rFonts w:ascii="Times New Roman" w:hAnsi="Times New Roman" w:cs="Times New Roman"/>
          <w:sz w:val="24"/>
          <w:szCs w:val="24"/>
        </w:rPr>
        <w:t xml:space="preserve"> dalle rilevazioni Opis, in ordine alla q</w:t>
      </w:r>
      <w:r w:rsidR="00C11DF3" w:rsidRPr="00237AC2">
        <w:rPr>
          <w:rFonts w:ascii="Times New Roman" w:hAnsi="Times New Roman" w:cs="Times New Roman"/>
          <w:sz w:val="24"/>
          <w:szCs w:val="24"/>
        </w:rPr>
        <w:t xml:space="preserve">ualità della didattica erogata </w:t>
      </w:r>
      <w:r w:rsidRPr="00237AC2">
        <w:rPr>
          <w:rFonts w:ascii="Times New Roman" w:hAnsi="Times New Roman" w:cs="Times New Roman"/>
          <w:sz w:val="24"/>
          <w:szCs w:val="24"/>
        </w:rPr>
        <w:t>e</w:t>
      </w:r>
      <w:r w:rsidR="00C11DF3" w:rsidRPr="00237AC2">
        <w:rPr>
          <w:rFonts w:ascii="Times New Roman" w:hAnsi="Times New Roman" w:cs="Times New Roman"/>
          <w:sz w:val="24"/>
          <w:szCs w:val="24"/>
        </w:rPr>
        <w:t xml:space="preserve">d </w:t>
      </w:r>
      <w:r w:rsidRPr="00237AC2">
        <w:rPr>
          <w:rFonts w:ascii="Times New Roman" w:hAnsi="Times New Roman" w:cs="Times New Roman"/>
          <w:sz w:val="24"/>
          <w:szCs w:val="24"/>
        </w:rPr>
        <w:t>in ordine alla reperibilità\disponibilità dei docenti</w:t>
      </w:r>
      <w:r w:rsidR="002E1F07" w:rsidRPr="00237AC2">
        <w:rPr>
          <w:rFonts w:ascii="Times New Roman" w:hAnsi="Times New Roman" w:cs="Times New Roman"/>
          <w:sz w:val="24"/>
          <w:szCs w:val="24"/>
        </w:rPr>
        <w:t xml:space="preserve"> (valore </w:t>
      </w:r>
      <w:r w:rsidR="00B6380B" w:rsidRPr="00237AC2">
        <w:rPr>
          <w:rFonts w:ascii="Times New Roman" w:hAnsi="Times New Roman" w:cs="Times New Roman"/>
          <w:sz w:val="24"/>
          <w:szCs w:val="24"/>
        </w:rPr>
        <w:t xml:space="preserve">eccezionale </w:t>
      </w:r>
      <w:r w:rsidR="002E1F07" w:rsidRPr="00237AC2">
        <w:rPr>
          <w:rFonts w:ascii="Times New Roman" w:hAnsi="Times New Roman" w:cs="Times New Roman"/>
          <w:sz w:val="24"/>
          <w:szCs w:val="24"/>
        </w:rPr>
        <w:t xml:space="preserve">pari al </w:t>
      </w:r>
      <w:r w:rsidR="00B6380B" w:rsidRPr="00237AC2">
        <w:rPr>
          <w:rFonts w:ascii="Times New Roman" w:hAnsi="Times New Roman" w:cs="Times New Roman"/>
          <w:sz w:val="24"/>
          <w:szCs w:val="24"/>
        </w:rPr>
        <w:t>100</w:t>
      </w:r>
      <w:r w:rsidR="002E1F07" w:rsidRPr="00237AC2">
        <w:rPr>
          <w:rFonts w:ascii="Times New Roman" w:hAnsi="Times New Roman" w:cs="Times New Roman"/>
          <w:sz w:val="24"/>
          <w:szCs w:val="24"/>
        </w:rPr>
        <w:t>%)</w:t>
      </w:r>
      <w:r w:rsidRPr="00237AC2">
        <w:rPr>
          <w:rFonts w:ascii="Times New Roman" w:hAnsi="Times New Roman" w:cs="Times New Roman"/>
          <w:sz w:val="24"/>
          <w:szCs w:val="24"/>
        </w:rPr>
        <w:t xml:space="preserve">. </w:t>
      </w:r>
      <w:r w:rsidR="00D654F1" w:rsidRPr="00237AC2">
        <w:rPr>
          <w:rFonts w:ascii="Times New Roman" w:hAnsi="Times New Roman" w:cs="Times New Roman"/>
          <w:sz w:val="24"/>
          <w:szCs w:val="24"/>
        </w:rPr>
        <w:t xml:space="preserve">L’indicatore iC13 – percentuale di Cfu conseguiti al primo anno su Cfu da conseguire – </w:t>
      </w:r>
      <w:r w:rsidR="0045693F" w:rsidRPr="00237AC2">
        <w:rPr>
          <w:rFonts w:ascii="Times New Roman" w:hAnsi="Times New Roman" w:cs="Times New Roman"/>
          <w:sz w:val="24"/>
          <w:szCs w:val="24"/>
        </w:rPr>
        <w:t>(</w:t>
      </w:r>
      <w:r w:rsidR="00D654F1" w:rsidRPr="00237AC2">
        <w:rPr>
          <w:rFonts w:ascii="Times New Roman" w:hAnsi="Times New Roman" w:cs="Times New Roman"/>
          <w:sz w:val="24"/>
          <w:szCs w:val="24"/>
        </w:rPr>
        <w:t>29%</w:t>
      </w:r>
      <w:r w:rsidR="0045693F" w:rsidRPr="00237AC2">
        <w:rPr>
          <w:rFonts w:ascii="Times New Roman" w:hAnsi="Times New Roman" w:cs="Times New Roman"/>
          <w:sz w:val="24"/>
          <w:szCs w:val="24"/>
        </w:rPr>
        <w:t>)</w:t>
      </w:r>
      <w:r w:rsidR="00D654F1" w:rsidRPr="00237AC2">
        <w:rPr>
          <w:rFonts w:ascii="Times New Roman" w:hAnsi="Times New Roman" w:cs="Times New Roman"/>
          <w:sz w:val="24"/>
          <w:szCs w:val="24"/>
        </w:rPr>
        <w:t xml:space="preserve"> è in calo rispetto all’anno 2020 pari al </w:t>
      </w:r>
      <w:r w:rsidR="00D654F1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41,75%</w:t>
      </w:r>
      <w:r w:rsidR="00D654F1" w:rsidRPr="00237A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4D8C7" w14:textId="359B0431" w:rsidR="00A536F9" w:rsidRPr="00237AC2" w:rsidRDefault="00D654F1" w:rsidP="00FC1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C2">
        <w:rPr>
          <w:rFonts w:ascii="Times New Roman" w:hAnsi="Times New Roman" w:cs="Times New Roman"/>
          <w:sz w:val="24"/>
          <w:szCs w:val="24"/>
        </w:rPr>
        <w:t>L’analisi dell’occupabilità dei laureati naturalmente non è ancora disponibile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. </w:t>
      </w:r>
      <w:r w:rsidRPr="00237AC2">
        <w:rPr>
          <w:rFonts w:ascii="Times New Roman" w:hAnsi="Times New Roman" w:cs="Times New Roman"/>
          <w:sz w:val="24"/>
          <w:szCs w:val="24"/>
        </w:rPr>
        <w:t>L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’iC05 consente di analizzare la sostenibilità del carico didattico dei docenti del </w:t>
      </w:r>
      <w:proofErr w:type="spellStart"/>
      <w:r w:rsidR="00A31449" w:rsidRPr="00237AC2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="00A31449" w:rsidRPr="00237AC2">
        <w:rPr>
          <w:rFonts w:ascii="Times New Roman" w:hAnsi="Times New Roman" w:cs="Times New Roman"/>
          <w:sz w:val="24"/>
          <w:szCs w:val="24"/>
        </w:rPr>
        <w:t xml:space="preserve"> a partire dal rapporto studenti regolari/docenti. </w:t>
      </w:r>
      <w:r w:rsidRPr="00237AC2">
        <w:rPr>
          <w:rFonts w:ascii="Times New Roman" w:hAnsi="Times New Roman" w:cs="Times New Roman"/>
          <w:sz w:val="24"/>
          <w:szCs w:val="24"/>
        </w:rPr>
        <w:t>Q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uesto rapporto è </w:t>
      </w:r>
      <w:r w:rsidR="002B2B49" w:rsidRPr="00237AC2">
        <w:rPr>
          <w:rFonts w:ascii="Times New Roman" w:hAnsi="Times New Roman" w:cs="Times New Roman"/>
          <w:sz w:val="24"/>
          <w:szCs w:val="24"/>
        </w:rPr>
        <w:t xml:space="preserve">pari ad </w:t>
      </w:r>
      <w:r w:rsidR="001D653B" w:rsidRPr="00237AC2">
        <w:rPr>
          <w:rFonts w:ascii="Times New Roman" w:hAnsi="Times New Roman" w:cs="Times New Roman"/>
          <w:sz w:val="24"/>
          <w:szCs w:val="24"/>
        </w:rPr>
        <w:t>2,26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, a differenza del dato </w:t>
      </w:r>
      <w:r w:rsidR="00BD6852" w:rsidRPr="00237AC2">
        <w:rPr>
          <w:rFonts w:ascii="Times New Roman" w:hAnsi="Times New Roman" w:cs="Times New Roman"/>
          <w:sz w:val="24"/>
          <w:szCs w:val="24"/>
        </w:rPr>
        <w:t xml:space="preserve">di </w:t>
      </w:r>
      <w:r w:rsidR="001D653B" w:rsidRPr="00237AC2">
        <w:rPr>
          <w:rFonts w:ascii="Times New Roman" w:hAnsi="Times New Roman" w:cs="Times New Roman"/>
          <w:sz w:val="24"/>
          <w:szCs w:val="24"/>
        </w:rPr>
        <w:t>A</w:t>
      </w:r>
      <w:r w:rsidR="00BD6852" w:rsidRPr="00237AC2">
        <w:rPr>
          <w:rFonts w:ascii="Times New Roman" w:hAnsi="Times New Roman" w:cs="Times New Roman"/>
          <w:sz w:val="24"/>
          <w:szCs w:val="24"/>
        </w:rPr>
        <w:t xml:space="preserve">teneo del </w:t>
      </w:r>
      <w:r w:rsidR="001D653B" w:rsidRPr="00237AC2">
        <w:rPr>
          <w:rFonts w:ascii="Times New Roman" w:hAnsi="Times New Roman" w:cs="Times New Roman"/>
          <w:sz w:val="24"/>
          <w:szCs w:val="24"/>
        </w:rPr>
        <w:t>8,23</w:t>
      </w:r>
      <w:r w:rsidR="00BD6852" w:rsidRPr="00237AC2">
        <w:rPr>
          <w:rFonts w:ascii="Times New Roman" w:hAnsi="Times New Roman" w:cs="Times New Roman"/>
          <w:sz w:val="24"/>
          <w:szCs w:val="24"/>
        </w:rPr>
        <w:t xml:space="preserve">, di quello nazionale 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del </w:t>
      </w:r>
      <w:r w:rsidR="001D653B" w:rsidRPr="00237AC2">
        <w:rPr>
          <w:rFonts w:ascii="Times New Roman" w:hAnsi="Times New Roman" w:cs="Times New Roman"/>
          <w:sz w:val="24"/>
          <w:szCs w:val="24"/>
        </w:rPr>
        <w:t>13</w:t>
      </w:r>
      <w:r w:rsidR="00BD6852" w:rsidRPr="00237AC2">
        <w:rPr>
          <w:rFonts w:ascii="Times New Roman" w:hAnsi="Times New Roman" w:cs="Times New Roman"/>
          <w:sz w:val="24"/>
          <w:szCs w:val="24"/>
        </w:rPr>
        <w:t>,</w:t>
      </w:r>
      <w:r w:rsidR="001D653B" w:rsidRPr="00237AC2">
        <w:rPr>
          <w:rFonts w:ascii="Times New Roman" w:hAnsi="Times New Roman" w:cs="Times New Roman"/>
          <w:sz w:val="24"/>
          <w:szCs w:val="24"/>
        </w:rPr>
        <w:t>13</w:t>
      </w:r>
      <w:r w:rsidR="00BD6852"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e del </w:t>
      </w:r>
      <w:r w:rsidR="00BD6852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1D653B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BD6852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D653B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BD6852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relativo all’area geografica di riferimento. </w:t>
      </w:r>
      <w:r w:rsidR="002E1F07" w:rsidRPr="00237AC2">
        <w:rPr>
          <w:rFonts w:ascii="Times New Roman" w:hAnsi="Times New Roman" w:cs="Times New Roman"/>
          <w:sz w:val="24"/>
          <w:szCs w:val="24"/>
        </w:rPr>
        <w:t>Questo dato va letto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 in combinato con l’iC08 che riconosce una percentuale di docenti di ruolo che appartengono a SSD di base e caratterizzanti per corso di studio </w:t>
      </w:r>
      <w:r w:rsidR="002E1F07" w:rsidRPr="00237AC2">
        <w:rPr>
          <w:rFonts w:ascii="Times New Roman" w:hAnsi="Times New Roman" w:cs="Times New Roman"/>
          <w:sz w:val="24"/>
          <w:szCs w:val="24"/>
        </w:rPr>
        <w:t xml:space="preserve">che è </w:t>
      </w:r>
      <w:r w:rsidR="00BD6852" w:rsidRPr="00237AC2">
        <w:rPr>
          <w:rFonts w:ascii="Times New Roman" w:hAnsi="Times New Roman" w:cs="Times New Roman"/>
          <w:sz w:val="24"/>
          <w:szCs w:val="24"/>
        </w:rPr>
        <w:t xml:space="preserve">pari </w:t>
      </w:r>
      <w:r w:rsidR="002B2B49" w:rsidRPr="00237AC2">
        <w:rPr>
          <w:rFonts w:ascii="Times New Roman" w:hAnsi="Times New Roman" w:cs="Times New Roman"/>
          <w:sz w:val="24"/>
          <w:szCs w:val="24"/>
        </w:rPr>
        <w:t xml:space="preserve">al </w:t>
      </w:r>
      <w:r w:rsidR="00416D1B" w:rsidRPr="00237AC2">
        <w:rPr>
          <w:rFonts w:ascii="Times New Roman" w:hAnsi="Times New Roman" w:cs="Times New Roman"/>
          <w:sz w:val="24"/>
          <w:szCs w:val="24"/>
        </w:rPr>
        <w:t>66,66</w:t>
      </w:r>
      <w:r w:rsidR="002B2B49" w:rsidRPr="00237AC2">
        <w:rPr>
          <w:rFonts w:ascii="Times New Roman" w:hAnsi="Times New Roman" w:cs="Times New Roman"/>
          <w:sz w:val="24"/>
          <w:szCs w:val="24"/>
        </w:rPr>
        <w:t>%</w:t>
      </w:r>
      <w:r w:rsidR="004F223C" w:rsidRPr="00237AC2">
        <w:rPr>
          <w:rFonts w:ascii="Times New Roman" w:hAnsi="Times New Roman" w:cs="Times New Roman"/>
          <w:sz w:val="24"/>
          <w:szCs w:val="24"/>
        </w:rPr>
        <w:t>, minore rispetto al dato di Ateneo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="004F223C" w:rsidRPr="00237AC2">
        <w:rPr>
          <w:rFonts w:ascii="Times New Roman" w:hAnsi="Times New Roman" w:cs="Times New Roman"/>
          <w:sz w:val="24"/>
          <w:szCs w:val="24"/>
        </w:rPr>
        <w:t>(</w:t>
      </w:r>
      <w:r w:rsidR="004F223C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95,45%), </w:t>
      </w:r>
      <w:r w:rsidR="004F223C" w:rsidRPr="00237AC2">
        <w:rPr>
          <w:rFonts w:ascii="Times New Roman" w:hAnsi="Times New Roman" w:cs="Times New Roman"/>
          <w:sz w:val="24"/>
          <w:szCs w:val="24"/>
        </w:rPr>
        <w:t xml:space="preserve">rispetto alla media nazionale (96,48%) e a quella geografica (94,04%). </w:t>
      </w:r>
      <w:r w:rsidR="005B28A8" w:rsidRPr="00237AC2">
        <w:rPr>
          <w:rFonts w:ascii="Times New Roman" w:hAnsi="Times New Roman" w:cs="Times New Roman"/>
          <w:sz w:val="24"/>
          <w:szCs w:val="24"/>
        </w:rPr>
        <w:t>L</w:t>
      </w:r>
      <w:r w:rsidR="00A31449" w:rsidRPr="00237AC2">
        <w:rPr>
          <w:rFonts w:ascii="Times New Roman" w:hAnsi="Times New Roman" w:cs="Times New Roman"/>
          <w:sz w:val="24"/>
          <w:szCs w:val="24"/>
        </w:rPr>
        <w:t>’iC19 mostra una percentuale di ore di docenza erogata da docenti assunti a tempo indeterminato sul totale di docenza erogata pari a</w:t>
      </w:r>
      <w:r w:rsidR="002B2B49" w:rsidRPr="00237AC2">
        <w:rPr>
          <w:rFonts w:ascii="Times New Roman" w:hAnsi="Times New Roman" w:cs="Times New Roman"/>
          <w:sz w:val="24"/>
          <w:szCs w:val="24"/>
        </w:rPr>
        <w:t>l</w:t>
      </w:r>
      <w:r w:rsidR="004F223C"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="00A536F9" w:rsidRPr="00237AC2">
        <w:rPr>
          <w:rFonts w:ascii="Times New Roman" w:hAnsi="Times New Roman" w:cs="Times New Roman"/>
          <w:sz w:val="24"/>
          <w:szCs w:val="24"/>
        </w:rPr>
        <w:t>72,14</w:t>
      </w:r>
      <w:r w:rsidR="002B2B49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%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, </w:t>
      </w:r>
      <w:r w:rsidR="005B28A8" w:rsidRPr="00237AC2">
        <w:rPr>
          <w:rFonts w:ascii="Times New Roman" w:hAnsi="Times New Roman" w:cs="Times New Roman"/>
          <w:sz w:val="24"/>
          <w:szCs w:val="24"/>
        </w:rPr>
        <w:t>nettamente superiore al dato naz</w:t>
      </w:r>
      <w:r w:rsidR="002B2B49" w:rsidRPr="00237AC2">
        <w:rPr>
          <w:rFonts w:ascii="Times New Roman" w:hAnsi="Times New Roman" w:cs="Times New Roman"/>
          <w:sz w:val="24"/>
          <w:szCs w:val="24"/>
        </w:rPr>
        <w:t xml:space="preserve">ionale pari al </w:t>
      </w:r>
      <w:r w:rsidR="00A536F9" w:rsidRPr="00237AC2">
        <w:rPr>
          <w:rFonts w:ascii="Times New Roman" w:hAnsi="Times New Roman" w:cs="Times New Roman"/>
          <w:sz w:val="24"/>
          <w:szCs w:val="24"/>
        </w:rPr>
        <w:t>62,04</w:t>
      </w:r>
      <w:r w:rsidR="002B2B49" w:rsidRPr="00237AC2">
        <w:rPr>
          <w:rFonts w:ascii="Times New Roman" w:hAnsi="Times New Roman" w:cs="Times New Roman"/>
          <w:sz w:val="24"/>
          <w:szCs w:val="24"/>
        </w:rPr>
        <w:t>%</w:t>
      </w:r>
      <w:r w:rsidR="004F223C" w:rsidRPr="00237AC2">
        <w:rPr>
          <w:rFonts w:ascii="Times New Roman" w:hAnsi="Times New Roman" w:cs="Times New Roman"/>
          <w:sz w:val="24"/>
          <w:szCs w:val="24"/>
        </w:rPr>
        <w:t xml:space="preserve">, nonché a quello dell’area geografica di riferimento pari al </w:t>
      </w:r>
      <w:r w:rsidR="00A536F9" w:rsidRPr="00237AC2">
        <w:rPr>
          <w:rFonts w:ascii="Times New Roman" w:hAnsi="Times New Roman" w:cs="Times New Roman"/>
          <w:sz w:val="24"/>
          <w:szCs w:val="24"/>
        </w:rPr>
        <w:t>64,47</w:t>
      </w:r>
      <w:r w:rsidR="004F223C" w:rsidRPr="00237AC2">
        <w:rPr>
          <w:rFonts w:ascii="Times New Roman" w:hAnsi="Times New Roman" w:cs="Times New Roman"/>
          <w:sz w:val="24"/>
          <w:szCs w:val="24"/>
        </w:rPr>
        <w:t>%</w:t>
      </w:r>
      <w:r w:rsidR="00A536F9" w:rsidRPr="00237AC2">
        <w:rPr>
          <w:rFonts w:ascii="Times New Roman" w:hAnsi="Times New Roman" w:cs="Times New Roman"/>
          <w:sz w:val="24"/>
          <w:szCs w:val="24"/>
        </w:rPr>
        <w:t>, evidenziandosi il minor ricorso alla docenza a contratto.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="005B28A8" w:rsidRPr="00237AC2">
        <w:rPr>
          <w:rFonts w:ascii="Times New Roman" w:hAnsi="Times New Roman" w:cs="Times New Roman"/>
          <w:sz w:val="24"/>
          <w:szCs w:val="24"/>
        </w:rPr>
        <w:t xml:space="preserve">Superiori al dato nazionale sono anche gli </w:t>
      </w:r>
      <w:r w:rsidR="00A31449" w:rsidRPr="00237AC2">
        <w:rPr>
          <w:rFonts w:ascii="Times New Roman" w:hAnsi="Times New Roman" w:cs="Times New Roman"/>
          <w:sz w:val="24"/>
          <w:szCs w:val="24"/>
        </w:rPr>
        <w:t>indicator</w:t>
      </w:r>
      <w:r w:rsidR="005B28A8" w:rsidRPr="00237AC2">
        <w:rPr>
          <w:rFonts w:ascii="Times New Roman" w:hAnsi="Times New Roman" w:cs="Times New Roman"/>
          <w:sz w:val="24"/>
          <w:szCs w:val="24"/>
        </w:rPr>
        <w:t>i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 iC19 bis e ter (</w:t>
      </w:r>
      <w:r w:rsidR="005B28A8" w:rsidRPr="00237AC2">
        <w:rPr>
          <w:rFonts w:ascii="Times New Roman" w:hAnsi="Times New Roman" w:cs="Times New Roman"/>
          <w:sz w:val="24"/>
          <w:szCs w:val="24"/>
        </w:rPr>
        <w:t>rispettivamente</w:t>
      </w:r>
      <w:r w:rsidR="002B2B49"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="00A536F9" w:rsidRPr="00237AC2">
        <w:rPr>
          <w:rFonts w:ascii="Times New Roman" w:hAnsi="Times New Roman" w:cs="Times New Roman"/>
          <w:sz w:val="24"/>
          <w:szCs w:val="24"/>
        </w:rPr>
        <w:t>75,48</w:t>
      </w:r>
      <w:r w:rsidR="002B2B49" w:rsidRPr="00237AC2">
        <w:rPr>
          <w:rFonts w:ascii="Times New Roman" w:hAnsi="Times New Roman" w:cs="Times New Roman"/>
          <w:sz w:val="24"/>
          <w:szCs w:val="24"/>
        </w:rPr>
        <w:t>%</w:t>
      </w:r>
      <w:r w:rsidR="005B28A8" w:rsidRPr="00237AC2">
        <w:rPr>
          <w:rFonts w:ascii="Times New Roman" w:hAnsi="Times New Roman" w:cs="Times New Roman"/>
          <w:sz w:val="24"/>
          <w:szCs w:val="24"/>
        </w:rPr>
        <w:t xml:space="preserve"> e </w:t>
      </w:r>
      <w:r w:rsidR="00A536F9" w:rsidRPr="00237AC2">
        <w:rPr>
          <w:rFonts w:ascii="Times New Roman" w:hAnsi="Times New Roman" w:cs="Times New Roman"/>
          <w:sz w:val="24"/>
          <w:szCs w:val="24"/>
        </w:rPr>
        <w:t>85,51</w:t>
      </w:r>
      <w:r w:rsidR="002B2B49" w:rsidRPr="00237AC2">
        <w:rPr>
          <w:rFonts w:ascii="Times New Roman" w:hAnsi="Times New Roman" w:cs="Times New Roman"/>
          <w:sz w:val="24"/>
          <w:szCs w:val="24"/>
        </w:rPr>
        <w:t>%</w:t>
      </w:r>
      <w:r w:rsidR="005B28A8" w:rsidRPr="00237AC2">
        <w:rPr>
          <w:rFonts w:ascii="Times New Roman" w:hAnsi="Times New Roman" w:cs="Times New Roman"/>
          <w:sz w:val="24"/>
          <w:szCs w:val="24"/>
        </w:rPr>
        <w:t>)</w:t>
      </w:r>
      <w:r w:rsidR="00A31449" w:rsidRPr="00237AC2">
        <w:rPr>
          <w:rFonts w:ascii="Times New Roman" w:hAnsi="Times New Roman" w:cs="Times New Roman"/>
          <w:sz w:val="24"/>
          <w:szCs w:val="24"/>
        </w:rPr>
        <w:t xml:space="preserve">. </w:t>
      </w:r>
      <w:r w:rsidR="00A536F9" w:rsidRPr="00237AC2">
        <w:rPr>
          <w:rFonts w:ascii="Times New Roman" w:hAnsi="Times New Roman" w:cs="Times New Roman"/>
          <w:sz w:val="24"/>
          <w:szCs w:val="24"/>
        </w:rPr>
        <w:t>Si registra i</w:t>
      </w:r>
      <w:r w:rsidR="00547F76" w:rsidRPr="00237AC2">
        <w:rPr>
          <w:rFonts w:ascii="Times New Roman" w:hAnsi="Times New Roman" w:cs="Times New Roman"/>
          <w:sz w:val="24"/>
          <w:szCs w:val="24"/>
        </w:rPr>
        <w:t xml:space="preserve">n crescita l’indicatore iC03 (Percentuale di iscritti al primo anno provenienti da altre Regioni), </w:t>
      </w:r>
      <w:r w:rsidR="00A536F9" w:rsidRPr="00237AC2">
        <w:rPr>
          <w:rFonts w:ascii="Times New Roman" w:hAnsi="Times New Roman" w:cs="Times New Roman"/>
          <w:sz w:val="24"/>
          <w:szCs w:val="24"/>
        </w:rPr>
        <w:t>pari al 12,5%</w:t>
      </w:r>
      <w:r w:rsidR="00AD775D" w:rsidRPr="00237AC2">
        <w:rPr>
          <w:rFonts w:ascii="Times New Roman" w:hAnsi="Times New Roman" w:cs="Times New Roman"/>
          <w:sz w:val="24"/>
          <w:szCs w:val="24"/>
        </w:rPr>
        <w:t>,</w:t>
      </w:r>
      <w:r w:rsidR="00A536F9" w:rsidRPr="00237AC2">
        <w:rPr>
          <w:rFonts w:ascii="Times New Roman" w:hAnsi="Times New Roman" w:cs="Times New Roman"/>
          <w:sz w:val="24"/>
          <w:szCs w:val="24"/>
        </w:rPr>
        <w:t xml:space="preserve"> superiore al</w:t>
      </w:r>
      <w:r w:rsidR="00547F76" w:rsidRPr="00237AC2">
        <w:rPr>
          <w:rFonts w:ascii="Times New Roman" w:hAnsi="Times New Roman" w:cs="Times New Roman"/>
          <w:sz w:val="24"/>
          <w:szCs w:val="24"/>
        </w:rPr>
        <w:t xml:space="preserve"> dato </w:t>
      </w:r>
      <w:r w:rsidR="00A536F9" w:rsidRPr="00237AC2">
        <w:rPr>
          <w:rFonts w:ascii="Times New Roman" w:hAnsi="Times New Roman" w:cs="Times New Roman"/>
          <w:sz w:val="24"/>
          <w:szCs w:val="24"/>
        </w:rPr>
        <w:t xml:space="preserve">di Ateneo pari a </w:t>
      </w:r>
      <w:r w:rsidR="00A536F9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11,76%.</w:t>
      </w:r>
    </w:p>
    <w:p w14:paraId="1DDCFC33" w14:textId="77777777" w:rsidR="002B2B49" w:rsidRPr="00237AC2" w:rsidRDefault="00A31449" w:rsidP="00FC142C">
      <w:pPr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 xml:space="preserve">2. Indicatori di internazionalizzazione </w:t>
      </w:r>
      <w:r w:rsidR="002054EE" w:rsidRPr="00237AC2">
        <w:rPr>
          <w:rFonts w:ascii="Times New Roman" w:hAnsi="Times New Roman" w:cs="Times New Roman"/>
          <w:sz w:val="24"/>
          <w:szCs w:val="24"/>
        </w:rPr>
        <w:t xml:space="preserve">(Gruppo B) </w:t>
      </w:r>
      <w:r w:rsidRPr="00237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3E2F4" w14:textId="77777777" w:rsidR="002054EE" w:rsidRPr="00237AC2" w:rsidRDefault="00A31449" w:rsidP="00FC142C">
      <w:pPr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lastRenderedPageBreak/>
        <w:t xml:space="preserve">Rispetto a questo gruppo di indicatori (iC10 e iC11) occorre sottolineare l’incidenza della pandemia </w:t>
      </w:r>
      <w:r w:rsidR="002054EE" w:rsidRPr="00237AC2">
        <w:rPr>
          <w:rFonts w:ascii="Times New Roman" w:hAnsi="Times New Roman" w:cs="Times New Roman"/>
          <w:sz w:val="24"/>
          <w:szCs w:val="24"/>
        </w:rPr>
        <w:t xml:space="preserve">e della crisi economica </w:t>
      </w:r>
      <w:r w:rsidRPr="00237AC2">
        <w:rPr>
          <w:rFonts w:ascii="Times New Roman" w:hAnsi="Times New Roman" w:cs="Times New Roman"/>
          <w:sz w:val="24"/>
          <w:szCs w:val="24"/>
        </w:rPr>
        <w:t>che ha</w:t>
      </w:r>
      <w:r w:rsidR="002054EE" w:rsidRPr="00237AC2">
        <w:rPr>
          <w:rFonts w:ascii="Times New Roman" w:hAnsi="Times New Roman" w:cs="Times New Roman"/>
          <w:sz w:val="24"/>
          <w:szCs w:val="24"/>
        </w:rPr>
        <w:t>nno</w:t>
      </w:r>
      <w:r w:rsidRPr="00237AC2">
        <w:rPr>
          <w:rFonts w:ascii="Times New Roman" w:hAnsi="Times New Roman" w:cs="Times New Roman"/>
          <w:sz w:val="24"/>
          <w:szCs w:val="24"/>
        </w:rPr>
        <w:t xml:space="preserve"> impattato in maniera estremamente significativa su questo obiettivo strategico. </w:t>
      </w:r>
      <w:r w:rsidR="00837ABD" w:rsidRPr="00237AC2">
        <w:rPr>
          <w:rFonts w:ascii="Times New Roman" w:hAnsi="Times New Roman" w:cs="Times New Roman"/>
          <w:sz w:val="24"/>
          <w:szCs w:val="24"/>
        </w:rPr>
        <w:t xml:space="preserve">In particolare, quanto al 2022 l’unico valore registrato è l’iC11 </w:t>
      </w:r>
      <w:r w:rsidR="00411E6B" w:rsidRPr="00237AC2">
        <w:rPr>
          <w:rFonts w:ascii="Times New Roman" w:hAnsi="Times New Roman" w:cs="Times New Roman"/>
          <w:sz w:val="24"/>
          <w:szCs w:val="24"/>
        </w:rPr>
        <w:t>pari a 0</w:t>
      </w:r>
      <w:r w:rsidR="00837ABD" w:rsidRPr="00237AC2">
        <w:rPr>
          <w:rFonts w:ascii="Times New Roman" w:hAnsi="Times New Roman" w:cs="Times New Roman"/>
          <w:sz w:val="24"/>
          <w:szCs w:val="24"/>
        </w:rPr>
        <w:t xml:space="preserve">, laddove nel 2021 l’iC10 e l’iC10BIS erano pari a 0. </w:t>
      </w:r>
      <w:r w:rsidRPr="00237AC2">
        <w:rPr>
          <w:rFonts w:ascii="Times New Roman" w:hAnsi="Times New Roman" w:cs="Times New Roman"/>
          <w:sz w:val="24"/>
          <w:szCs w:val="24"/>
        </w:rPr>
        <w:t>Si ritiene, tuttavia, che le azioni di promozione dell’</w:t>
      </w:r>
      <w:r w:rsidR="00411E6B" w:rsidRPr="00237AC2">
        <w:rPr>
          <w:rFonts w:ascii="Times New Roman" w:hAnsi="Times New Roman" w:cs="Times New Roman"/>
          <w:sz w:val="24"/>
          <w:szCs w:val="24"/>
        </w:rPr>
        <w:t>i</w:t>
      </w:r>
      <w:r w:rsidRPr="00237AC2">
        <w:rPr>
          <w:rFonts w:ascii="Times New Roman" w:hAnsi="Times New Roman" w:cs="Times New Roman"/>
          <w:sz w:val="24"/>
          <w:szCs w:val="24"/>
        </w:rPr>
        <w:t xml:space="preserve">nternazionalizzazione possano favorire un miglioramento delle risultanze statistiche </w:t>
      </w:r>
      <w:r w:rsidR="002054EE" w:rsidRPr="00237AC2">
        <w:rPr>
          <w:rFonts w:ascii="Times New Roman" w:hAnsi="Times New Roman" w:cs="Times New Roman"/>
          <w:sz w:val="24"/>
          <w:szCs w:val="24"/>
        </w:rPr>
        <w:t>dei prossimi anni</w:t>
      </w:r>
      <w:r w:rsidRPr="00237A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E68DD9" w14:textId="77777777" w:rsidR="00E12935" w:rsidRPr="00237AC2" w:rsidRDefault="00A31449" w:rsidP="00FC142C">
      <w:pPr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 xml:space="preserve">3. Ulteriori indicatori per la valutazione della didattica (Gruppo E) </w:t>
      </w:r>
    </w:p>
    <w:p w14:paraId="31DC8431" w14:textId="51D0AC88" w:rsidR="002054EE" w:rsidRPr="00237AC2" w:rsidRDefault="00A31449" w:rsidP="00FC142C">
      <w:pPr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 xml:space="preserve">Gli indicatori di questo gruppo (iC13 – iC19 ter) relativi al </w:t>
      </w:r>
      <w:proofErr w:type="spellStart"/>
      <w:r w:rsidRPr="00237AC2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237AC2">
        <w:rPr>
          <w:rFonts w:ascii="Times New Roman" w:hAnsi="Times New Roman" w:cs="Times New Roman"/>
          <w:sz w:val="24"/>
          <w:szCs w:val="24"/>
        </w:rPr>
        <w:t xml:space="preserve"> nell’ultimo anno di rilevamento (202</w:t>
      </w:r>
      <w:r w:rsidR="002054EE" w:rsidRPr="00237AC2">
        <w:rPr>
          <w:rFonts w:ascii="Times New Roman" w:hAnsi="Times New Roman" w:cs="Times New Roman"/>
          <w:sz w:val="24"/>
          <w:szCs w:val="24"/>
        </w:rPr>
        <w:t>1</w:t>
      </w:r>
      <w:r w:rsidRPr="00237AC2">
        <w:rPr>
          <w:rFonts w:ascii="Times New Roman" w:hAnsi="Times New Roman" w:cs="Times New Roman"/>
          <w:sz w:val="24"/>
          <w:szCs w:val="24"/>
        </w:rPr>
        <w:t xml:space="preserve"> per il gruppo iC13-iC17, 202</w:t>
      </w:r>
      <w:r w:rsidR="002054EE" w:rsidRPr="00237AC2">
        <w:rPr>
          <w:rFonts w:ascii="Times New Roman" w:hAnsi="Times New Roman" w:cs="Times New Roman"/>
          <w:sz w:val="24"/>
          <w:szCs w:val="24"/>
        </w:rPr>
        <w:t>2</w:t>
      </w:r>
      <w:r w:rsidRPr="00237AC2">
        <w:rPr>
          <w:rFonts w:ascii="Times New Roman" w:hAnsi="Times New Roman" w:cs="Times New Roman"/>
          <w:sz w:val="24"/>
          <w:szCs w:val="24"/>
        </w:rPr>
        <w:t xml:space="preserve"> per il gruppo iC18-iC19 ter), mostrano risultati </w:t>
      </w:r>
      <w:r w:rsidR="00421BBF" w:rsidRPr="00237AC2">
        <w:rPr>
          <w:rFonts w:ascii="Times New Roman" w:hAnsi="Times New Roman" w:cs="Times New Roman"/>
          <w:sz w:val="24"/>
          <w:szCs w:val="24"/>
        </w:rPr>
        <w:t>superiori</w:t>
      </w:r>
      <w:r w:rsidR="002054EE"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Pr="00237AC2">
        <w:rPr>
          <w:rFonts w:ascii="Times New Roman" w:hAnsi="Times New Roman" w:cs="Times New Roman"/>
          <w:sz w:val="24"/>
          <w:szCs w:val="24"/>
        </w:rPr>
        <w:t xml:space="preserve">ai dati dell’area geografica. </w:t>
      </w:r>
      <w:r w:rsidR="00A640A7" w:rsidRPr="00237AC2">
        <w:rPr>
          <w:rFonts w:ascii="Times New Roman" w:hAnsi="Times New Roman" w:cs="Times New Roman"/>
          <w:sz w:val="24"/>
          <w:szCs w:val="24"/>
        </w:rPr>
        <w:t>In particolare, l</w:t>
      </w:r>
      <w:r w:rsidR="00BA1A29" w:rsidRPr="00237AC2">
        <w:rPr>
          <w:rFonts w:ascii="Times New Roman" w:hAnsi="Times New Roman" w:cs="Times New Roman"/>
          <w:sz w:val="24"/>
          <w:szCs w:val="24"/>
        </w:rPr>
        <w:t>’iC19 – ore di docenza erogata da docenti assunti a tempo indeterminato sul totale delle ore di docenza erogata – è pari a</w:t>
      </w:r>
      <w:r w:rsidR="009C57CC"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="00421BBF" w:rsidRPr="00237AC2">
        <w:rPr>
          <w:rFonts w:ascii="Times New Roman" w:hAnsi="Times New Roman" w:cs="Times New Roman"/>
          <w:sz w:val="24"/>
          <w:szCs w:val="24"/>
        </w:rPr>
        <w:t xml:space="preserve">72,14% </w:t>
      </w:r>
      <w:r w:rsidR="00A640A7" w:rsidRPr="00237AC2">
        <w:rPr>
          <w:rFonts w:ascii="Times New Roman" w:hAnsi="Times New Roman" w:cs="Times New Roman"/>
          <w:sz w:val="24"/>
          <w:szCs w:val="24"/>
        </w:rPr>
        <w:t>dunque superiore al dato registrato nel 2021, pari a</w:t>
      </w:r>
      <w:r w:rsidR="00E32DA8" w:rsidRPr="00237AC2">
        <w:rPr>
          <w:rFonts w:ascii="Times New Roman" w:hAnsi="Times New Roman" w:cs="Times New Roman"/>
          <w:sz w:val="24"/>
          <w:szCs w:val="24"/>
        </w:rPr>
        <w:t>l</w:t>
      </w:r>
      <w:r w:rsidR="00A640A7"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="00421BBF" w:rsidRPr="00237AC2">
        <w:rPr>
          <w:rFonts w:ascii="Times New Roman" w:hAnsi="Times New Roman" w:cs="Times New Roman"/>
          <w:sz w:val="24"/>
          <w:szCs w:val="24"/>
        </w:rPr>
        <w:t>60,73%</w:t>
      </w:r>
      <w:r w:rsidR="00997513" w:rsidRPr="00237AC2">
        <w:rPr>
          <w:rFonts w:ascii="Times New Roman" w:hAnsi="Times New Roman" w:cs="Times New Roman"/>
          <w:sz w:val="24"/>
          <w:szCs w:val="24"/>
        </w:rPr>
        <w:t>,</w:t>
      </w:r>
      <w:r w:rsidR="00421BBF" w:rsidRPr="00237AC2">
        <w:rPr>
          <w:rFonts w:ascii="Times New Roman" w:hAnsi="Times New Roman" w:cs="Times New Roman"/>
          <w:sz w:val="24"/>
          <w:szCs w:val="24"/>
        </w:rPr>
        <w:t xml:space="preserve"> ma anche superiore al dato nazionale</w:t>
      </w:r>
      <w:r w:rsidR="00997513" w:rsidRPr="00237AC2">
        <w:rPr>
          <w:rFonts w:ascii="Times New Roman" w:hAnsi="Times New Roman" w:cs="Times New Roman"/>
          <w:sz w:val="24"/>
          <w:szCs w:val="24"/>
        </w:rPr>
        <w:t>,</w:t>
      </w:r>
      <w:r w:rsidR="00421BBF" w:rsidRPr="00237AC2">
        <w:rPr>
          <w:rFonts w:ascii="Times New Roman" w:hAnsi="Times New Roman" w:cs="Times New Roman"/>
          <w:sz w:val="24"/>
          <w:szCs w:val="24"/>
        </w:rPr>
        <w:t xml:space="preserve"> pari a 62,04%</w:t>
      </w:r>
      <w:r w:rsidR="00997513" w:rsidRPr="00237AC2">
        <w:rPr>
          <w:rFonts w:ascii="Times New Roman" w:hAnsi="Times New Roman" w:cs="Times New Roman"/>
          <w:sz w:val="24"/>
          <w:szCs w:val="24"/>
        </w:rPr>
        <w:t>,</w:t>
      </w:r>
      <w:r w:rsidR="00421BBF" w:rsidRPr="00237AC2">
        <w:rPr>
          <w:rFonts w:ascii="Times New Roman" w:hAnsi="Times New Roman" w:cs="Times New Roman"/>
          <w:sz w:val="24"/>
          <w:szCs w:val="24"/>
        </w:rPr>
        <w:t xml:space="preserve"> nonché al dato dell’area geografica</w:t>
      </w:r>
      <w:r w:rsidR="00997513" w:rsidRPr="00237AC2">
        <w:rPr>
          <w:rFonts w:ascii="Times New Roman" w:hAnsi="Times New Roman" w:cs="Times New Roman"/>
          <w:sz w:val="24"/>
          <w:szCs w:val="24"/>
        </w:rPr>
        <w:t>,</w:t>
      </w:r>
      <w:r w:rsidR="00421BBF"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="00421BBF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pari a 64,47%</w:t>
      </w:r>
      <w:r w:rsidR="00A640A7" w:rsidRPr="00237AC2">
        <w:rPr>
          <w:rFonts w:ascii="Times New Roman" w:hAnsi="Times New Roman" w:cs="Times New Roman"/>
          <w:sz w:val="24"/>
          <w:szCs w:val="24"/>
        </w:rPr>
        <w:t xml:space="preserve">. L’iC19 </w:t>
      </w:r>
      <w:r w:rsidR="00421BBF" w:rsidRPr="00237AC2">
        <w:rPr>
          <w:rFonts w:ascii="Times New Roman" w:hAnsi="Times New Roman" w:cs="Times New Roman"/>
          <w:sz w:val="24"/>
          <w:szCs w:val="24"/>
        </w:rPr>
        <w:t>bis</w:t>
      </w:r>
      <w:r w:rsidR="00A640A7" w:rsidRPr="00237AC2">
        <w:rPr>
          <w:rFonts w:ascii="Times New Roman" w:hAnsi="Times New Roman" w:cs="Times New Roman"/>
          <w:sz w:val="24"/>
          <w:szCs w:val="24"/>
        </w:rPr>
        <w:t xml:space="preserve"> – ore di docenza erogata da docenti assunti a tempo indeterminato e ricercatori a tempo determinato di tipo B sul totale delle ore di docenza erogata – è </w:t>
      </w:r>
      <w:r w:rsidR="00E32DA8" w:rsidRPr="00237AC2">
        <w:rPr>
          <w:rFonts w:ascii="Times New Roman" w:hAnsi="Times New Roman" w:cs="Times New Roman"/>
          <w:sz w:val="24"/>
          <w:szCs w:val="24"/>
        </w:rPr>
        <w:t>pari a</w:t>
      </w:r>
      <w:r w:rsidR="00421BBF" w:rsidRPr="00237AC2">
        <w:rPr>
          <w:rFonts w:ascii="Times New Roman" w:hAnsi="Times New Roman" w:cs="Times New Roman"/>
          <w:sz w:val="24"/>
          <w:szCs w:val="24"/>
        </w:rPr>
        <w:t>l 75,48</w:t>
      </w:r>
      <w:r w:rsidR="00E32DA8" w:rsidRPr="00237AC2">
        <w:rPr>
          <w:rFonts w:ascii="Times New Roman" w:hAnsi="Times New Roman" w:cs="Times New Roman"/>
          <w:sz w:val="24"/>
          <w:szCs w:val="24"/>
        </w:rPr>
        <w:t>%</w:t>
      </w:r>
      <w:r w:rsidR="00A640A7" w:rsidRPr="00237AC2">
        <w:rPr>
          <w:rFonts w:ascii="Times New Roman" w:hAnsi="Times New Roman" w:cs="Times New Roman"/>
          <w:sz w:val="24"/>
          <w:szCs w:val="24"/>
        </w:rPr>
        <w:t xml:space="preserve">, mentre nel 2021 è stato </w:t>
      </w:r>
      <w:r w:rsidR="00E32DA8" w:rsidRPr="00237AC2">
        <w:rPr>
          <w:rFonts w:ascii="Times New Roman" w:hAnsi="Times New Roman" w:cs="Times New Roman"/>
          <w:sz w:val="24"/>
          <w:szCs w:val="24"/>
        </w:rPr>
        <w:t xml:space="preserve">del </w:t>
      </w:r>
      <w:r w:rsidR="00421BBF" w:rsidRPr="00237AC2">
        <w:rPr>
          <w:rFonts w:ascii="Times New Roman" w:hAnsi="Times New Roman" w:cs="Times New Roman"/>
          <w:sz w:val="24"/>
          <w:szCs w:val="24"/>
        </w:rPr>
        <w:t>69,32</w:t>
      </w:r>
      <w:r w:rsidR="00E32DA8" w:rsidRPr="00237AC2">
        <w:rPr>
          <w:rFonts w:ascii="Times New Roman" w:hAnsi="Times New Roman" w:cs="Times New Roman"/>
          <w:sz w:val="24"/>
          <w:szCs w:val="24"/>
        </w:rPr>
        <w:t>%</w:t>
      </w:r>
      <w:r w:rsidR="00A640A7" w:rsidRPr="00237AC2">
        <w:rPr>
          <w:rFonts w:ascii="Times New Roman" w:hAnsi="Times New Roman" w:cs="Times New Roman"/>
          <w:sz w:val="24"/>
          <w:szCs w:val="24"/>
        </w:rPr>
        <w:t>.</w:t>
      </w:r>
      <w:r w:rsidR="00421BBF" w:rsidRPr="00237AC2">
        <w:rPr>
          <w:rFonts w:ascii="Times New Roman" w:hAnsi="Times New Roman" w:cs="Times New Roman"/>
          <w:sz w:val="24"/>
          <w:szCs w:val="24"/>
        </w:rPr>
        <w:t xml:space="preserve"> Lo stesso dato è anche superiore al dato nazionale pari al 71,74% nonché al dato dell’area geografica pari al 73,93%. </w:t>
      </w:r>
      <w:r w:rsidR="00A640A7" w:rsidRPr="00237AC2">
        <w:rPr>
          <w:rFonts w:ascii="Times New Roman" w:hAnsi="Times New Roman" w:cs="Times New Roman"/>
          <w:sz w:val="24"/>
          <w:szCs w:val="24"/>
        </w:rPr>
        <w:t xml:space="preserve">L’iC19 </w:t>
      </w:r>
      <w:r w:rsidR="00421BBF" w:rsidRPr="00237AC2">
        <w:rPr>
          <w:rFonts w:ascii="Times New Roman" w:hAnsi="Times New Roman" w:cs="Times New Roman"/>
          <w:sz w:val="24"/>
          <w:szCs w:val="24"/>
        </w:rPr>
        <w:t>ter</w:t>
      </w:r>
      <w:r w:rsidR="00A640A7" w:rsidRPr="00237AC2">
        <w:rPr>
          <w:rFonts w:ascii="Times New Roman" w:hAnsi="Times New Roman" w:cs="Times New Roman"/>
          <w:sz w:val="24"/>
          <w:szCs w:val="24"/>
        </w:rPr>
        <w:t xml:space="preserve"> – ore di docenza erogata da docenti assunti a tempo indeterminato e ricercatori a tempo determinato di tipo A e B sul totale delle ore di docenza – è </w:t>
      </w:r>
      <w:r w:rsidR="00E32DA8" w:rsidRPr="00237AC2">
        <w:rPr>
          <w:rFonts w:ascii="Times New Roman" w:hAnsi="Times New Roman" w:cs="Times New Roman"/>
          <w:sz w:val="24"/>
          <w:szCs w:val="24"/>
        </w:rPr>
        <w:t>pari al</w:t>
      </w:r>
      <w:r w:rsidR="00421BBF" w:rsidRPr="00237AC2">
        <w:rPr>
          <w:rFonts w:ascii="Times New Roman" w:hAnsi="Times New Roman" w:cs="Times New Roman"/>
          <w:sz w:val="24"/>
          <w:szCs w:val="24"/>
        </w:rPr>
        <w:t>l’85,51</w:t>
      </w:r>
      <w:r w:rsidR="00E32DA8" w:rsidRPr="00237AC2">
        <w:rPr>
          <w:rFonts w:ascii="Times New Roman" w:hAnsi="Times New Roman" w:cs="Times New Roman"/>
          <w:sz w:val="24"/>
          <w:szCs w:val="24"/>
        </w:rPr>
        <w:t>%</w:t>
      </w:r>
      <w:r w:rsidR="00A640A7" w:rsidRPr="00237AC2">
        <w:rPr>
          <w:rFonts w:ascii="Times New Roman" w:hAnsi="Times New Roman" w:cs="Times New Roman"/>
          <w:sz w:val="24"/>
          <w:szCs w:val="24"/>
        </w:rPr>
        <w:t xml:space="preserve">, nel 2021 </w:t>
      </w:r>
      <w:r w:rsidR="00421BBF" w:rsidRPr="00237AC2">
        <w:rPr>
          <w:rFonts w:ascii="Times New Roman" w:hAnsi="Times New Roman" w:cs="Times New Roman"/>
          <w:sz w:val="24"/>
          <w:szCs w:val="24"/>
        </w:rPr>
        <w:t>80,36</w:t>
      </w:r>
      <w:r w:rsidR="00E32DA8" w:rsidRPr="00237AC2">
        <w:rPr>
          <w:rFonts w:ascii="Times New Roman" w:hAnsi="Times New Roman" w:cs="Times New Roman"/>
          <w:sz w:val="24"/>
          <w:szCs w:val="24"/>
        </w:rPr>
        <w:t>%</w:t>
      </w:r>
      <w:r w:rsidR="00A640A7" w:rsidRPr="00237AC2">
        <w:rPr>
          <w:rFonts w:ascii="Times New Roman" w:hAnsi="Times New Roman" w:cs="Times New Roman"/>
          <w:sz w:val="24"/>
          <w:szCs w:val="24"/>
        </w:rPr>
        <w:t xml:space="preserve">. </w:t>
      </w:r>
      <w:r w:rsidR="001310BA" w:rsidRPr="00237AC2">
        <w:rPr>
          <w:rFonts w:ascii="Times New Roman" w:hAnsi="Times New Roman" w:cs="Times New Roman"/>
          <w:sz w:val="24"/>
          <w:szCs w:val="24"/>
        </w:rPr>
        <w:t xml:space="preserve">A livello nazionale si registra un dato inferiore pari al 77,14%, sempre inferiore è il dato dell’area geografica pari a 81,11%. </w:t>
      </w:r>
      <w:r w:rsidR="00E32DA8" w:rsidRPr="00237AC2">
        <w:rPr>
          <w:rFonts w:ascii="Times New Roman" w:hAnsi="Times New Roman" w:cs="Times New Roman"/>
          <w:sz w:val="24"/>
          <w:szCs w:val="24"/>
        </w:rPr>
        <w:t>La percentuale di studenti che proseguono nel II anno nello stesso corso di studio (iC14) nel 2021 è stata del 4</w:t>
      </w:r>
      <w:r w:rsidR="008C0A43" w:rsidRPr="00237AC2">
        <w:rPr>
          <w:rFonts w:ascii="Times New Roman" w:hAnsi="Times New Roman" w:cs="Times New Roman"/>
          <w:sz w:val="24"/>
          <w:szCs w:val="24"/>
        </w:rPr>
        <w:t>4,44</w:t>
      </w:r>
      <w:r w:rsidR="00E32DA8" w:rsidRPr="00237AC2">
        <w:rPr>
          <w:rFonts w:ascii="Times New Roman" w:hAnsi="Times New Roman" w:cs="Times New Roman"/>
          <w:sz w:val="24"/>
          <w:szCs w:val="24"/>
        </w:rPr>
        <w:t xml:space="preserve">%, in </w:t>
      </w:r>
      <w:r w:rsidR="008C0A43" w:rsidRPr="00237AC2">
        <w:rPr>
          <w:rFonts w:ascii="Times New Roman" w:hAnsi="Times New Roman" w:cs="Times New Roman"/>
          <w:sz w:val="24"/>
          <w:szCs w:val="24"/>
        </w:rPr>
        <w:t>crescita rispetto</w:t>
      </w:r>
      <w:r w:rsidR="00E32DA8" w:rsidRPr="00237AC2">
        <w:rPr>
          <w:rFonts w:ascii="Times New Roman" w:hAnsi="Times New Roman" w:cs="Times New Roman"/>
          <w:sz w:val="24"/>
          <w:szCs w:val="24"/>
        </w:rPr>
        <w:t xml:space="preserve"> al 2020 (</w:t>
      </w:r>
      <w:r w:rsidR="008C0A43" w:rsidRPr="00237AC2">
        <w:rPr>
          <w:rFonts w:ascii="Times New Roman" w:hAnsi="Times New Roman" w:cs="Times New Roman"/>
          <w:sz w:val="24"/>
          <w:szCs w:val="24"/>
        </w:rPr>
        <w:t>33,33</w:t>
      </w:r>
      <w:r w:rsidR="00E32DA8" w:rsidRPr="00237AC2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73C814C7" w14:textId="77777777" w:rsidR="00E12935" w:rsidRPr="00237AC2" w:rsidRDefault="00A31449" w:rsidP="00FC142C">
      <w:pPr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 xml:space="preserve">4. Percorso di studio e regolarità delle carriere (Indicatori di approfondimento per la sperimentazione) </w:t>
      </w:r>
    </w:p>
    <w:p w14:paraId="5DD21359" w14:textId="77777777" w:rsidR="004E1DF0" w:rsidRPr="00237AC2" w:rsidRDefault="00A31449" w:rsidP="00FC142C">
      <w:pPr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 xml:space="preserve">Il confronto tra il valore assunto dagli indicatori (iC21 – iC24) relativi al </w:t>
      </w:r>
      <w:proofErr w:type="spellStart"/>
      <w:r w:rsidRPr="00237AC2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237AC2">
        <w:rPr>
          <w:rFonts w:ascii="Times New Roman" w:hAnsi="Times New Roman" w:cs="Times New Roman"/>
          <w:sz w:val="24"/>
          <w:szCs w:val="24"/>
        </w:rPr>
        <w:t xml:space="preserve"> nell’ultimo anno di rilevamento (202</w:t>
      </w:r>
      <w:r w:rsidR="009E5078" w:rsidRPr="00237AC2">
        <w:rPr>
          <w:rFonts w:ascii="Times New Roman" w:hAnsi="Times New Roman" w:cs="Times New Roman"/>
          <w:sz w:val="24"/>
          <w:szCs w:val="24"/>
        </w:rPr>
        <w:t>1</w:t>
      </w:r>
      <w:r w:rsidRPr="00237AC2">
        <w:rPr>
          <w:rFonts w:ascii="Times New Roman" w:hAnsi="Times New Roman" w:cs="Times New Roman"/>
          <w:sz w:val="24"/>
          <w:szCs w:val="24"/>
        </w:rPr>
        <w:t xml:space="preserve">) mostra dati </w:t>
      </w:r>
      <w:r w:rsidR="00FE1989" w:rsidRPr="00237AC2">
        <w:rPr>
          <w:rFonts w:ascii="Times New Roman" w:hAnsi="Times New Roman" w:cs="Times New Roman"/>
          <w:sz w:val="24"/>
          <w:szCs w:val="24"/>
        </w:rPr>
        <w:t>in crescita rispetto al</w:t>
      </w:r>
      <w:r w:rsidR="009E5078" w:rsidRPr="00237AC2">
        <w:rPr>
          <w:rFonts w:ascii="Times New Roman" w:hAnsi="Times New Roman" w:cs="Times New Roman"/>
          <w:sz w:val="24"/>
          <w:szCs w:val="24"/>
        </w:rPr>
        <w:t>le precedenti rilevazioni</w:t>
      </w:r>
      <w:r w:rsidRPr="00237AC2">
        <w:rPr>
          <w:rFonts w:ascii="Times New Roman" w:hAnsi="Times New Roman" w:cs="Times New Roman"/>
          <w:sz w:val="24"/>
          <w:szCs w:val="24"/>
        </w:rPr>
        <w:t xml:space="preserve">. </w:t>
      </w:r>
      <w:r w:rsidR="00A51CE0" w:rsidRPr="00237AC2">
        <w:rPr>
          <w:rFonts w:ascii="Times New Roman" w:hAnsi="Times New Roman" w:cs="Times New Roman"/>
          <w:sz w:val="24"/>
          <w:szCs w:val="24"/>
        </w:rPr>
        <w:t xml:space="preserve">Non sono presenti i dati 2022. </w:t>
      </w:r>
      <w:r w:rsidR="00FE1989" w:rsidRPr="00237AC2">
        <w:rPr>
          <w:rFonts w:ascii="Times New Roman" w:hAnsi="Times New Roman" w:cs="Times New Roman"/>
          <w:sz w:val="24"/>
          <w:szCs w:val="24"/>
        </w:rPr>
        <w:t xml:space="preserve">La percentuale di immatricolati che si laureano, nel </w:t>
      </w:r>
      <w:proofErr w:type="spellStart"/>
      <w:r w:rsidR="00FE1989" w:rsidRPr="00237AC2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="00FE1989" w:rsidRPr="00237AC2">
        <w:rPr>
          <w:rFonts w:ascii="Times New Roman" w:hAnsi="Times New Roman" w:cs="Times New Roman"/>
          <w:sz w:val="24"/>
          <w:szCs w:val="24"/>
        </w:rPr>
        <w:t>, entro la durata normale del corso (iC22) è pari a 13,33%, dato superiore al valore di Ateneo (6,73%). I</w:t>
      </w:r>
      <w:r w:rsidR="00A05E36" w:rsidRPr="00237AC2">
        <w:rPr>
          <w:rFonts w:ascii="Times New Roman" w:hAnsi="Times New Roman" w:cs="Times New Roman"/>
          <w:sz w:val="24"/>
          <w:szCs w:val="24"/>
        </w:rPr>
        <w:t>l dato sugli abbandoni iC24</w:t>
      </w:r>
      <w:r w:rsidR="00FE1989" w:rsidRPr="00237AC2">
        <w:rPr>
          <w:rFonts w:ascii="Times New Roman" w:hAnsi="Times New Roman" w:cs="Times New Roman"/>
          <w:sz w:val="24"/>
          <w:szCs w:val="24"/>
        </w:rPr>
        <w:t>,</w:t>
      </w:r>
      <w:r w:rsidR="00A05E36"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="00A51CE0" w:rsidRPr="00237AC2">
        <w:rPr>
          <w:rFonts w:ascii="Times New Roman" w:hAnsi="Times New Roman" w:cs="Times New Roman"/>
          <w:sz w:val="24"/>
          <w:szCs w:val="24"/>
        </w:rPr>
        <w:t>non ancora disponibile nel 2022</w:t>
      </w:r>
      <w:r w:rsidR="00FE1989" w:rsidRPr="00237AC2">
        <w:rPr>
          <w:rFonts w:ascii="Times New Roman" w:hAnsi="Times New Roman" w:cs="Times New Roman"/>
          <w:sz w:val="24"/>
          <w:szCs w:val="24"/>
        </w:rPr>
        <w:t>,</w:t>
      </w:r>
      <w:r w:rsidR="00A51CE0" w:rsidRPr="00237AC2">
        <w:rPr>
          <w:rFonts w:ascii="Times New Roman" w:hAnsi="Times New Roman" w:cs="Times New Roman"/>
          <w:sz w:val="24"/>
          <w:szCs w:val="24"/>
        </w:rPr>
        <w:t xml:space="preserve"> nel 2021 è stato </w:t>
      </w:r>
      <w:r w:rsidR="00A05E36" w:rsidRPr="00237AC2">
        <w:rPr>
          <w:rFonts w:ascii="Times New Roman" w:hAnsi="Times New Roman" w:cs="Times New Roman"/>
          <w:sz w:val="24"/>
          <w:szCs w:val="24"/>
        </w:rPr>
        <w:t>pari a</w:t>
      </w:r>
      <w:r w:rsidR="002D0817" w:rsidRPr="00237AC2">
        <w:rPr>
          <w:rFonts w:ascii="Times New Roman" w:hAnsi="Times New Roman" w:cs="Times New Roman"/>
          <w:sz w:val="24"/>
          <w:szCs w:val="24"/>
        </w:rPr>
        <w:t xml:space="preserve">l </w:t>
      </w:r>
      <w:r w:rsidR="00FE1989" w:rsidRPr="00237AC2">
        <w:rPr>
          <w:rFonts w:ascii="Times New Roman" w:hAnsi="Times New Roman" w:cs="Times New Roman"/>
          <w:sz w:val="24"/>
          <w:szCs w:val="24"/>
        </w:rPr>
        <w:t>46,66</w:t>
      </w:r>
      <w:r w:rsidR="002D0817" w:rsidRPr="00237AC2">
        <w:rPr>
          <w:rFonts w:ascii="Times New Roman" w:hAnsi="Times New Roman" w:cs="Times New Roman"/>
          <w:sz w:val="24"/>
          <w:szCs w:val="24"/>
        </w:rPr>
        <w:t>%</w:t>
      </w:r>
      <w:r w:rsidR="00A05E36" w:rsidRPr="00237AC2">
        <w:rPr>
          <w:rFonts w:ascii="Times New Roman" w:hAnsi="Times New Roman" w:cs="Times New Roman"/>
          <w:sz w:val="24"/>
          <w:szCs w:val="24"/>
        </w:rPr>
        <w:t xml:space="preserve">, </w:t>
      </w:r>
      <w:r w:rsidR="00893EA0" w:rsidRPr="00237AC2">
        <w:rPr>
          <w:rFonts w:ascii="Times New Roman" w:hAnsi="Times New Roman" w:cs="Times New Roman"/>
          <w:sz w:val="24"/>
          <w:szCs w:val="24"/>
        </w:rPr>
        <w:t>migliore rispetto a quello</w:t>
      </w:r>
      <w:r w:rsidR="00A05E36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Ateneo </w:t>
      </w:r>
      <w:r w:rsidR="00FE1989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pari al 68,53</w:t>
      </w:r>
      <w:r w:rsidR="00893EA0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%. La percentuale di abbandoni a livello nazionale è invece pari al 43,15, al livello</w:t>
      </w:r>
      <w:r w:rsidR="00A05E36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dell’Area geografica di riferimento</w:t>
      </w:r>
      <w:r w:rsidR="00893EA0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pari a 45,32%</w:t>
      </w:r>
      <w:r w:rsidR="00A05E36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5F3D1D50" w14:textId="77777777" w:rsidR="00893EA0" w:rsidRPr="00237AC2" w:rsidRDefault="00A31449" w:rsidP="00FC142C">
      <w:pPr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 xml:space="preserve">5. Soddisfazione e Occupabilità (Indicatori di approfondimento per la sperimentazione) </w:t>
      </w:r>
    </w:p>
    <w:p w14:paraId="469A7A0D" w14:textId="7D2B43E2" w:rsidR="00893EA0" w:rsidRPr="00237AC2" w:rsidRDefault="00893EA0" w:rsidP="00FC142C">
      <w:pPr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>Gli indicatori relativi a queste voci non sono ancora disponibili</w:t>
      </w:r>
      <w:r w:rsidR="003E20B9" w:rsidRPr="00237AC2">
        <w:rPr>
          <w:rFonts w:ascii="Times New Roman" w:hAnsi="Times New Roman" w:cs="Times New Roman"/>
          <w:sz w:val="24"/>
          <w:szCs w:val="24"/>
        </w:rPr>
        <w:t>,</w:t>
      </w:r>
      <w:r w:rsidRPr="00237AC2">
        <w:rPr>
          <w:rFonts w:ascii="Times New Roman" w:hAnsi="Times New Roman" w:cs="Times New Roman"/>
          <w:sz w:val="24"/>
          <w:szCs w:val="24"/>
        </w:rPr>
        <w:t xml:space="preserve"> essendo </w:t>
      </w:r>
      <w:r w:rsidR="003E20B9" w:rsidRPr="00237AC2">
        <w:rPr>
          <w:rFonts w:ascii="Times New Roman" w:hAnsi="Times New Roman" w:cs="Times New Roman"/>
          <w:sz w:val="24"/>
          <w:szCs w:val="24"/>
        </w:rPr>
        <w:t xml:space="preserve">questo </w:t>
      </w:r>
      <w:proofErr w:type="spellStart"/>
      <w:r w:rsidR="003E20B9" w:rsidRPr="00237AC2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="003E20B9"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Pr="00237AC2">
        <w:rPr>
          <w:rFonts w:ascii="Times New Roman" w:hAnsi="Times New Roman" w:cs="Times New Roman"/>
          <w:sz w:val="24"/>
          <w:szCs w:val="24"/>
        </w:rPr>
        <w:t>attivo dall’</w:t>
      </w:r>
      <w:proofErr w:type="spellStart"/>
      <w:r w:rsidRPr="00237AC2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237AC2">
        <w:rPr>
          <w:rFonts w:ascii="Times New Roman" w:hAnsi="Times New Roman" w:cs="Times New Roman"/>
          <w:sz w:val="24"/>
          <w:szCs w:val="24"/>
        </w:rPr>
        <w:t>. 2018-2019.</w:t>
      </w:r>
    </w:p>
    <w:p w14:paraId="2F492575" w14:textId="77777777" w:rsidR="00893EA0" w:rsidRPr="00237AC2" w:rsidRDefault="00A31449" w:rsidP="00FC142C">
      <w:pPr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 xml:space="preserve">6. Consistenza e Qualificazione del corpo docente (Indicatori di approfondimento per la sperimentazione) </w:t>
      </w:r>
    </w:p>
    <w:p w14:paraId="242EC017" w14:textId="77777777" w:rsidR="00A31449" w:rsidRPr="00237AC2" w:rsidRDefault="00A31449" w:rsidP="00FC1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AC2">
        <w:rPr>
          <w:rFonts w:ascii="Times New Roman" w:hAnsi="Times New Roman" w:cs="Times New Roman"/>
          <w:sz w:val="24"/>
          <w:szCs w:val="24"/>
        </w:rPr>
        <w:t>Il Rapporto studenti iscritti/docenti complessivo (pesato per le ore di docenza) (iC27) nel 202</w:t>
      </w:r>
      <w:r w:rsidR="00370CE1" w:rsidRPr="00237AC2">
        <w:rPr>
          <w:rFonts w:ascii="Times New Roman" w:hAnsi="Times New Roman" w:cs="Times New Roman"/>
          <w:sz w:val="24"/>
          <w:szCs w:val="24"/>
        </w:rPr>
        <w:t>2</w:t>
      </w:r>
      <w:r w:rsidRPr="00237AC2">
        <w:rPr>
          <w:rFonts w:ascii="Times New Roman" w:hAnsi="Times New Roman" w:cs="Times New Roman"/>
          <w:sz w:val="24"/>
          <w:szCs w:val="24"/>
        </w:rPr>
        <w:t xml:space="preserve"> è stato pari a </w:t>
      </w:r>
      <w:r w:rsidR="00893EA0" w:rsidRPr="00237AC2">
        <w:rPr>
          <w:rFonts w:ascii="Times New Roman" w:hAnsi="Times New Roman" w:cs="Times New Roman"/>
          <w:sz w:val="24"/>
          <w:szCs w:val="24"/>
        </w:rPr>
        <w:t>5,93</w:t>
      </w:r>
      <w:r w:rsidRPr="00237AC2">
        <w:rPr>
          <w:rFonts w:ascii="Times New Roman" w:hAnsi="Times New Roman" w:cs="Times New Roman"/>
          <w:sz w:val="24"/>
          <w:szCs w:val="24"/>
        </w:rPr>
        <w:t xml:space="preserve">, risultando inferiore a quello </w:t>
      </w:r>
      <w:r w:rsidR="00893EA0" w:rsidRPr="00237AC2">
        <w:rPr>
          <w:rFonts w:ascii="Times New Roman" w:hAnsi="Times New Roman" w:cs="Times New Roman"/>
          <w:sz w:val="24"/>
          <w:szCs w:val="24"/>
        </w:rPr>
        <w:t xml:space="preserve">di Ateneo (26,21), </w:t>
      </w:r>
      <w:r w:rsidRPr="00237AC2">
        <w:rPr>
          <w:rFonts w:ascii="Times New Roman" w:hAnsi="Times New Roman" w:cs="Times New Roman"/>
          <w:sz w:val="24"/>
          <w:szCs w:val="24"/>
        </w:rPr>
        <w:t>per Area geografica (</w:t>
      </w:r>
      <w:r w:rsidR="00370CE1" w:rsidRPr="00237AC2">
        <w:rPr>
          <w:rFonts w:ascii="Times New Roman" w:hAnsi="Times New Roman" w:cs="Times New Roman"/>
          <w:sz w:val="24"/>
          <w:szCs w:val="24"/>
        </w:rPr>
        <w:t>28,</w:t>
      </w:r>
      <w:r w:rsidR="00893EA0" w:rsidRPr="00237AC2">
        <w:rPr>
          <w:rFonts w:ascii="Times New Roman" w:hAnsi="Times New Roman" w:cs="Times New Roman"/>
          <w:sz w:val="24"/>
          <w:szCs w:val="24"/>
        </w:rPr>
        <w:t>8</w:t>
      </w:r>
      <w:r w:rsidR="00370CE1" w:rsidRPr="00237AC2">
        <w:rPr>
          <w:rFonts w:ascii="Times New Roman" w:hAnsi="Times New Roman" w:cs="Times New Roman"/>
          <w:sz w:val="24"/>
          <w:szCs w:val="24"/>
        </w:rPr>
        <w:t>4</w:t>
      </w:r>
      <w:r w:rsidRPr="00237AC2">
        <w:rPr>
          <w:rFonts w:ascii="Times New Roman" w:hAnsi="Times New Roman" w:cs="Times New Roman"/>
          <w:sz w:val="24"/>
          <w:szCs w:val="24"/>
        </w:rPr>
        <w:t>) ed a quello nazionale (</w:t>
      </w:r>
      <w:r w:rsidR="00370CE1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34</w:t>
      </w:r>
      <w:r w:rsidR="00893EA0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,13</w:t>
      </w:r>
      <w:r w:rsidRPr="00237AC2">
        <w:rPr>
          <w:rFonts w:ascii="Times New Roman" w:hAnsi="Times New Roman" w:cs="Times New Roman"/>
          <w:sz w:val="24"/>
          <w:szCs w:val="24"/>
        </w:rPr>
        <w:t>). Il Rapporto studenti iscritti al primo anno/docenti degli insegnamenti del primo anno (pesato per le ore di docenza) – (IC28) nel 202</w:t>
      </w:r>
      <w:r w:rsidR="00370CE1" w:rsidRPr="00237AC2">
        <w:rPr>
          <w:rFonts w:ascii="Times New Roman" w:hAnsi="Times New Roman" w:cs="Times New Roman"/>
          <w:sz w:val="24"/>
          <w:szCs w:val="24"/>
        </w:rPr>
        <w:t>2</w:t>
      </w:r>
      <w:r w:rsidRPr="00237AC2">
        <w:rPr>
          <w:rFonts w:ascii="Times New Roman" w:hAnsi="Times New Roman" w:cs="Times New Roman"/>
          <w:sz w:val="24"/>
          <w:szCs w:val="24"/>
        </w:rPr>
        <w:t xml:space="preserve"> è stato pari a </w:t>
      </w:r>
      <w:r w:rsidR="00893EA0" w:rsidRPr="00237AC2">
        <w:rPr>
          <w:rFonts w:ascii="Times New Roman" w:hAnsi="Times New Roman" w:cs="Times New Roman"/>
          <w:sz w:val="24"/>
          <w:szCs w:val="24"/>
        </w:rPr>
        <w:t>4,79</w:t>
      </w:r>
      <w:r w:rsidRPr="00237AC2">
        <w:rPr>
          <w:rFonts w:ascii="Times New Roman" w:hAnsi="Times New Roman" w:cs="Times New Roman"/>
          <w:sz w:val="24"/>
          <w:szCs w:val="24"/>
        </w:rPr>
        <w:t xml:space="preserve">, risultando inferiore a quello </w:t>
      </w:r>
      <w:r w:rsidR="00F016C6" w:rsidRPr="00237AC2">
        <w:rPr>
          <w:rFonts w:ascii="Times New Roman" w:hAnsi="Times New Roman" w:cs="Times New Roman"/>
          <w:sz w:val="24"/>
          <w:szCs w:val="24"/>
        </w:rPr>
        <w:t xml:space="preserve">di Ateneo (22,72), </w:t>
      </w:r>
      <w:r w:rsidRPr="00237AC2">
        <w:rPr>
          <w:rFonts w:ascii="Times New Roman" w:hAnsi="Times New Roman" w:cs="Times New Roman"/>
          <w:sz w:val="24"/>
          <w:szCs w:val="24"/>
        </w:rPr>
        <w:t>dell’Area geografica (</w:t>
      </w:r>
      <w:r w:rsidR="002D0817" w:rsidRPr="00237AC2">
        <w:rPr>
          <w:rFonts w:ascii="Times New Roman" w:hAnsi="Times New Roman" w:cs="Times New Roman"/>
          <w:sz w:val="24"/>
          <w:szCs w:val="24"/>
        </w:rPr>
        <w:t>2</w:t>
      </w:r>
      <w:r w:rsidR="00893EA0" w:rsidRPr="00237AC2">
        <w:rPr>
          <w:rFonts w:ascii="Times New Roman" w:hAnsi="Times New Roman" w:cs="Times New Roman"/>
          <w:sz w:val="24"/>
          <w:szCs w:val="24"/>
        </w:rPr>
        <w:t>9</w:t>
      </w:r>
      <w:r w:rsidR="002D0817" w:rsidRPr="00237AC2">
        <w:rPr>
          <w:rFonts w:ascii="Times New Roman" w:hAnsi="Times New Roman" w:cs="Times New Roman"/>
          <w:sz w:val="24"/>
          <w:szCs w:val="24"/>
        </w:rPr>
        <w:t>,4</w:t>
      </w:r>
      <w:r w:rsidR="00893EA0" w:rsidRPr="00237AC2">
        <w:rPr>
          <w:rFonts w:ascii="Times New Roman" w:hAnsi="Times New Roman" w:cs="Times New Roman"/>
          <w:sz w:val="24"/>
          <w:szCs w:val="24"/>
        </w:rPr>
        <w:t>0</w:t>
      </w:r>
      <w:r w:rsidRPr="00237AC2">
        <w:rPr>
          <w:rFonts w:ascii="Times New Roman" w:hAnsi="Times New Roman" w:cs="Times New Roman"/>
          <w:sz w:val="24"/>
          <w:szCs w:val="24"/>
        </w:rPr>
        <w:t>) e nazionale (</w:t>
      </w:r>
      <w:r w:rsidR="002D0817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893EA0" w:rsidRPr="00237AC2">
        <w:rPr>
          <w:rFonts w:ascii="Times New Roman" w:eastAsia="Times New Roman" w:hAnsi="Times New Roman" w:cs="Times New Roman"/>
          <w:sz w:val="24"/>
          <w:szCs w:val="24"/>
          <w:lang w:eastAsia="it-IT"/>
        </w:rPr>
        <w:t>3,96</w:t>
      </w:r>
      <w:r w:rsidRPr="00237AC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08BE9E1" w14:textId="77777777" w:rsidR="00A31449" w:rsidRPr="00237AC2" w:rsidRDefault="00A31449" w:rsidP="00FC14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82712" w14:textId="77777777" w:rsidR="00C75C24" w:rsidRPr="00237AC2" w:rsidRDefault="00C75C24" w:rsidP="00FC142C">
      <w:pPr>
        <w:pStyle w:val="Default"/>
        <w:spacing w:line="276" w:lineRule="auto"/>
        <w:jc w:val="both"/>
        <w:rPr>
          <w:color w:val="auto"/>
        </w:rPr>
      </w:pPr>
      <w:r w:rsidRPr="00237AC2">
        <w:rPr>
          <w:color w:val="auto"/>
        </w:rPr>
        <w:t xml:space="preserve">GIUDIZIO COMPLESSIVO </w:t>
      </w:r>
    </w:p>
    <w:p w14:paraId="221F9836" w14:textId="1FA14EF5" w:rsidR="006B6CEB" w:rsidRPr="00237AC2" w:rsidRDefault="0045693F" w:rsidP="00FC142C">
      <w:pPr>
        <w:pStyle w:val="Default"/>
        <w:spacing w:line="276" w:lineRule="auto"/>
        <w:jc w:val="both"/>
        <w:rPr>
          <w:color w:val="auto"/>
        </w:rPr>
      </w:pPr>
      <w:r w:rsidRPr="00237AC2">
        <w:rPr>
          <w:color w:val="auto"/>
        </w:rPr>
        <w:t>I dati di ingresso mostrano un incremento degli iscritti che si dimostra significativo nel confronto con i valori di Ateneo, nazionali e regionali evidenziandosi un incremento degli avvii di carriera in controtendenza rispetto all’andamento nazionale.</w:t>
      </w:r>
      <w:r w:rsidR="003E20B9" w:rsidRPr="00237AC2">
        <w:rPr>
          <w:color w:val="auto"/>
        </w:rPr>
        <w:t xml:space="preserve"> Rispetto </w:t>
      </w:r>
      <w:proofErr w:type="gramStart"/>
      <w:r w:rsidR="003E20B9" w:rsidRPr="00237AC2">
        <w:rPr>
          <w:color w:val="auto"/>
        </w:rPr>
        <w:t>alle precedente</w:t>
      </w:r>
      <w:proofErr w:type="gramEnd"/>
      <w:r w:rsidR="003E20B9" w:rsidRPr="00237AC2">
        <w:rPr>
          <w:color w:val="auto"/>
        </w:rPr>
        <w:t xml:space="preserve"> rilevazione, si registra un calo degli immatricolati puri.</w:t>
      </w:r>
    </w:p>
    <w:p w14:paraId="311F0BB7" w14:textId="18E6C888" w:rsidR="006B6CEB" w:rsidRPr="00237AC2" w:rsidRDefault="006B6CEB" w:rsidP="00FC142C">
      <w:pPr>
        <w:pStyle w:val="Default"/>
        <w:spacing w:line="276" w:lineRule="auto"/>
        <w:jc w:val="both"/>
        <w:rPr>
          <w:rFonts w:eastAsia="Times New Roman"/>
          <w:color w:val="auto"/>
          <w:lang w:eastAsia="it-IT"/>
        </w:rPr>
      </w:pPr>
      <w:r w:rsidRPr="00237AC2">
        <w:rPr>
          <w:color w:val="auto"/>
        </w:rPr>
        <w:t xml:space="preserve">Pur trattandosi di un </w:t>
      </w:r>
      <w:proofErr w:type="spellStart"/>
      <w:r w:rsidRPr="00237AC2">
        <w:rPr>
          <w:color w:val="auto"/>
        </w:rPr>
        <w:t>CdS</w:t>
      </w:r>
      <w:proofErr w:type="spellEnd"/>
      <w:r w:rsidRPr="00237AC2">
        <w:rPr>
          <w:color w:val="auto"/>
        </w:rPr>
        <w:t xml:space="preserve"> di nuova istituzione e per il quale non sono ancora disponibili i dati sui laureati, si registra una percentuale di laureati entro un anno oltre la durata normale del corso maggiore rispetto al corrispondente dato di Ateneo.</w:t>
      </w:r>
      <w:r w:rsidR="00721691" w:rsidRPr="00237AC2">
        <w:rPr>
          <w:color w:val="auto"/>
        </w:rPr>
        <w:t xml:space="preserve"> La percentuale di abb</w:t>
      </w:r>
      <w:r w:rsidR="00CA6DDB" w:rsidRPr="00237AC2">
        <w:rPr>
          <w:color w:val="auto"/>
        </w:rPr>
        <w:t>a</w:t>
      </w:r>
      <w:r w:rsidR="00721691" w:rsidRPr="00237AC2">
        <w:rPr>
          <w:color w:val="auto"/>
        </w:rPr>
        <w:t>ndoni è inferiore rispetto a quella di Ateneo</w:t>
      </w:r>
      <w:r w:rsidR="00721691" w:rsidRPr="00237AC2">
        <w:rPr>
          <w:rFonts w:eastAsia="Times New Roman"/>
          <w:color w:val="auto"/>
          <w:lang w:eastAsia="it-IT"/>
        </w:rPr>
        <w:t xml:space="preserve"> e pari a quella dell’Area geografica ed a quella nazionale.</w:t>
      </w:r>
    </w:p>
    <w:p w14:paraId="2F2655FD" w14:textId="1C7774D6" w:rsidR="003B77CD" w:rsidRPr="00237AC2" w:rsidRDefault="003B77CD" w:rsidP="00FC142C">
      <w:pPr>
        <w:pStyle w:val="Default"/>
        <w:spacing w:line="276" w:lineRule="auto"/>
        <w:jc w:val="both"/>
        <w:rPr>
          <w:color w:val="auto"/>
        </w:rPr>
      </w:pPr>
      <w:r w:rsidRPr="00237AC2">
        <w:rPr>
          <w:color w:val="auto"/>
        </w:rPr>
        <w:t>Si segnala una percentuale di ore di docenza erogata da docenti assunti a tempo indeterminato sul totale di docenza erogata superiore al dato nazionale, nonché a quello dell’area geografica di riferimento, evidenziandosi il minor ricorso alla docenza a contratto</w:t>
      </w:r>
      <w:r w:rsidR="00CA6DDB" w:rsidRPr="00237AC2">
        <w:rPr>
          <w:color w:val="auto"/>
        </w:rPr>
        <w:t>. Si registra inoltre un rapporto virtuoso tra numero studenti iscritti e numero docenti</w:t>
      </w:r>
      <w:r w:rsidRPr="00237AC2">
        <w:rPr>
          <w:color w:val="auto"/>
        </w:rPr>
        <w:t>.</w:t>
      </w:r>
    </w:p>
    <w:p w14:paraId="0F112986" w14:textId="4EA8CADC" w:rsidR="006B6CEB" w:rsidRPr="00237AC2" w:rsidRDefault="00CA6DDB" w:rsidP="00FC142C">
      <w:pPr>
        <w:pStyle w:val="Default"/>
        <w:spacing w:line="276" w:lineRule="auto"/>
        <w:jc w:val="both"/>
        <w:rPr>
          <w:color w:val="auto"/>
        </w:rPr>
      </w:pPr>
      <w:r w:rsidRPr="00237AC2">
        <w:rPr>
          <w:color w:val="auto"/>
        </w:rPr>
        <w:t xml:space="preserve">Risulta </w:t>
      </w:r>
      <w:r w:rsidR="00721691" w:rsidRPr="00237AC2">
        <w:rPr>
          <w:color w:val="auto"/>
        </w:rPr>
        <w:t>in crescita la percentuale di iscritti al primo anno provenienti da altre Regioni, trattandosi peraltro di un dato superiore a quello di Ateneo.</w:t>
      </w:r>
    </w:p>
    <w:p w14:paraId="79B1F883" w14:textId="1E3A7868" w:rsidR="00997513" w:rsidRPr="00237AC2" w:rsidRDefault="00CA6DDB" w:rsidP="00FC142C">
      <w:pPr>
        <w:pStyle w:val="Default"/>
        <w:spacing w:line="276" w:lineRule="auto"/>
        <w:jc w:val="both"/>
        <w:rPr>
          <w:color w:val="auto"/>
        </w:rPr>
      </w:pPr>
      <w:r w:rsidRPr="00237AC2">
        <w:rPr>
          <w:color w:val="auto"/>
        </w:rPr>
        <w:t>Altresì in aumento la</w:t>
      </w:r>
      <w:r w:rsidR="00997513" w:rsidRPr="00237AC2">
        <w:rPr>
          <w:color w:val="auto"/>
        </w:rPr>
        <w:t xml:space="preserve"> percentuale di studenti che proseguono nel II anno nello stesso corso di studio.</w:t>
      </w:r>
    </w:p>
    <w:p w14:paraId="2072BC71" w14:textId="77777777" w:rsidR="00AA36EB" w:rsidRPr="00237AC2" w:rsidRDefault="00721691" w:rsidP="00FC142C">
      <w:pPr>
        <w:pStyle w:val="Default"/>
        <w:spacing w:line="276" w:lineRule="auto"/>
        <w:jc w:val="both"/>
        <w:rPr>
          <w:color w:val="auto"/>
        </w:rPr>
      </w:pPr>
      <w:r w:rsidRPr="00237AC2">
        <w:rPr>
          <w:color w:val="auto"/>
        </w:rPr>
        <w:t>Si registra assenza di</w:t>
      </w:r>
      <w:r w:rsidR="006B6CEB" w:rsidRPr="00237AC2">
        <w:rPr>
          <w:color w:val="auto"/>
        </w:rPr>
        <w:t xml:space="preserve"> mobilità Erasmus.</w:t>
      </w:r>
    </w:p>
    <w:p w14:paraId="738BD801" w14:textId="77777777" w:rsidR="003E20B9" w:rsidRPr="00237AC2" w:rsidRDefault="003E20B9" w:rsidP="00FC142C">
      <w:pPr>
        <w:pStyle w:val="Default"/>
        <w:spacing w:line="276" w:lineRule="auto"/>
        <w:jc w:val="both"/>
        <w:rPr>
          <w:color w:val="auto"/>
        </w:rPr>
      </w:pPr>
    </w:p>
    <w:p w14:paraId="6CB40ED1" w14:textId="77777777" w:rsidR="00C75C24" w:rsidRPr="00237AC2" w:rsidRDefault="00C75C24" w:rsidP="00FC142C">
      <w:pPr>
        <w:pStyle w:val="Default"/>
        <w:spacing w:line="276" w:lineRule="auto"/>
        <w:jc w:val="both"/>
        <w:rPr>
          <w:color w:val="auto"/>
        </w:rPr>
      </w:pPr>
      <w:r w:rsidRPr="00237AC2">
        <w:rPr>
          <w:color w:val="auto"/>
        </w:rPr>
        <w:t xml:space="preserve">AZIONI MIGLIORATIVE POSSIBILI </w:t>
      </w:r>
    </w:p>
    <w:p w14:paraId="52A96AF9" w14:textId="395A16EA" w:rsidR="00FA512A" w:rsidRPr="00237AC2" w:rsidRDefault="00721691" w:rsidP="00FC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>Pur registrandosi dati positivi con riguardo agli avvii di carriera</w:t>
      </w:r>
      <w:r w:rsidR="00FC142C" w:rsidRPr="00237AC2">
        <w:rPr>
          <w:rFonts w:ascii="Times New Roman" w:hAnsi="Times New Roman" w:cs="Times New Roman"/>
          <w:sz w:val="24"/>
          <w:szCs w:val="24"/>
        </w:rPr>
        <w:t xml:space="preserve">, gli immatricolati puri sono in calo. Viste le potenzialità collegate alle basi multidisciplinari del </w:t>
      </w:r>
      <w:proofErr w:type="spellStart"/>
      <w:r w:rsidR="00FC142C" w:rsidRPr="00237AC2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="00FC142C" w:rsidRPr="00237AC2">
        <w:rPr>
          <w:rFonts w:ascii="Times New Roman" w:hAnsi="Times New Roman" w:cs="Times New Roman"/>
          <w:sz w:val="24"/>
          <w:szCs w:val="24"/>
        </w:rPr>
        <w:t>, l’obiettivo da intraprendere è irrobustire l’orientamento in ingresso</w:t>
      </w:r>
      <w:r w:rsidR="00C1564B" w:rsidRPr="00237AC2">
        <w:rPr>
          <w:rFonts w:ascii="Times New Roman" w:hAnsi="Times New Roman" w:cs="Times New Roman"/>
          <w:sz w:val="24"/>
          <w:szCs w:val="24"/>
        </w:rPr>
        <w:t xml:space="preserve">, anche attraverso apposita attività di pubblicizzazione </w:t>
      </w:r>
      <w:r w:rsidR="00FC142C" w:rsidRPr="00237AC2">
        <w:rPr>
          <w:rFonts w:ascii="Times New Roman" w:hAnsi="Times New Roman" w:cs="Times New Roman"/>
          <w:sz w:val="24"/>
          <w:szCs w:val="24"/>
        </w:rPr>
        <w:t>d</w:t>
      </w:r>
      <w:r w:rsidR="00C1564B" w:rsidRPr="00237AC2">
        <w:rPr>
          <w:rFonts w:ascii="Times New Roman" w:hAnsi="Times New Roman" w:cs="Times New Roman"/>
          <w:sz w:val="24"/>
          <w:szCs w:val="24"/>
        </w:rPr>
        <w:t>ell</w:t>
      </w:r>
      <w:r w:rsidR="00FC142C" w:rsidRPr="00237AC2">
        <w:rPr>
          <w:rFonts w:ascii="Times New Roman" w:hAnsi="Times New Roman" w:cs="Times New Roman"/>
          <w:sz w:val="24"/>
          <w:szCs w:val="24"/>
        </w:rPr>
        <w:t>e specificità offerte dalla</w:t>
      </w:r>
      <w:r w:rsidR="00C1564B" w:rsidRPr="00237AC2">
        <w:rPr>
          <w:rFonts w:ascii="Times New Roman" w:hAnsi="Times New Roman" w:cs="Times New Roman"/>
          <w:sz w:val="24"/>
          <w:szCs w:val="24"/>
        </w:rPr>
        <w:t xml:space="preserve"> sede di Taranto</w:t>
      </w:r>
      <w:r w:rsidR="004363B9" w:rsidRPr="00237AC2">
        <w:rPr>
          <w:rFonts w:ascii="Times New Roman" w:hAnsi="Times New Roman" w:cs="Times New Roman"/>
          <w:sz w:val="24"/>
          <w:szCs w:val="24"/>
        </w:rPr>
        <w:t xml:space="preserve"> </w:t>
      </w:r>
      <w:r w:rsidR="00FC142C" w:rsidRPr="00237AC2">
        <w:rPr>
          <w:rFonts w:ascii="Times New Roman" w:hAnsi="Times New Roman" w:cs="Times New Roman"/>
          <w:sz w:val="24"/>
          <w:szCs w:val="24"/>
        </w:rPr>
        <w:t>nonché de</w:t>
      </w:r>
      <w:r w:rsidR="004363B9" w:rsidRPr="00237AC2">
        <w:rPr>
          <w:rFonts w:ascii="Times New Roman" w:hAnsi="Times New Roman" w:cs="Times New Roman"/>
          <w:sz w:val="24"/>
          <w:szCs w:val="24"/>
        </w:rPr>
        <w:t>gli sbocchi occupazionali del corso di laurea</w:t>
      </w:r>
      <w:r w:rsidR="00FC142C" w:rsidRPr="00237AC2">
        <w:rPr>
          <w:rFonts w:ascii="Times New Roman" w:hAnsi="Times New Roman" w:cs="Times New Roman"/>
          <w:sz w:val="24"/>
          <w:szCs w:val="24"/>
        </w:rPr>
        <w:t xml:space="preserve">. </w:t>
      </w:r>
      <w:r w:rsidR="00FA512A" w:rsidRPr="00237AC2">
        <w:rPr>
          <w:rFonts w:ascii="Times New Roman" w:hAnsi="Times New Roman" w:cs="Times New Roman"/>
          <w:sz w:val="24"/>
          <w:szCs w:val="24"/>
        </w:rPr>
        <w:t xml:space="preserve">Con riguardo all’orientamento in ingresso, trattandosi di sede </w:t>
      </w:r>
      <w:r w:rsidR="00FC142C" w:rsidRPr="00237AC2">
        <w:rPr>
          <w:rFonts w:ascii="Times New Roman" w:hAnsi="Times New Roman" w:cs="Times New Roman"/>
          <w:sz w:val="24"/>
          <w:szCs w:val="24"/>
        </w:rPr>
        <w:t>decentrata</w:t>
      </w:r>
      <w:r w:rsidR="00FA512A" w:rsidRPr="00237AC2">
        <w:rPr>
          <w:rFonts w:ascii="Times New Roman" w:hAnsi="Times New Roman" w:cs="Times New Roman"/>
          <w:sz w:val="24"/>
          <w:szCs w:val="24"/>
        </w:rPr>
        <w:t xml:space="preserve"> è necessario un incremento di pubblicità dei corsi attraverso uffici preposti, composti anche dalle diverse componenti studentesche. Ulteriore area di miglioramento è rappresentata dalla pubblicità attraverso i social network. </w:t>
      </w:r>
    </w:p>
    <w:p w14:paraId="4879C6D2" w14:textId="342A4D38" w:rsidR="00C1564B" w:rsidRPr="00FC142C" w:rsidRDefault="007566E1" w:rsidP="00FC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AC2">
        <w:rPr>
          <w:rFonts w:ascii="Times New Roman" w:hAnsi="Times New Roman" w:cs="Times New Roman"/>
          <w:sz w:val="24"/>
          <w:szCs w:val="24"/>
        </w:rPr>
        <w:t xml:space="preserve">Con riferimento all’internazionalizzazione, </w:t>
      </w:r>
      <w:r w:rsidR="009074E2" w:rsidRPr="00237AC2">
        <w:rPr>
          <w:rFonts w:ascii="Times New Roman" w:hAnsi="Times New Roman" w:cs="Times New Roman"/>
          <w:sz w:val="24"/>
          <w:szCs w:val="24"/>
        </w:rPr>
        <w:t xml:space="preserve">la sfida è </w:t>
      </w:r>
      <w:r w:rsidR="00FC142C" w:rsidRPr="00237AC2">
        <w:rPr>
          <w:rFonts w:ascii="Times New Roman" w:hAnsi="Times New Roman" w:cs="Times New Roman"/>
          <w:sz w:val="24"/>
          <w:szCs w:val="24"/>
        </w:rPr>
        <w:t>nella direzione</w:t>
      </w:r>
      <w:r w:rsidR="009074E2" w:rsidRPr="00237AC2">
        <w:rPr>
          <w:rFonts w:ascii="Times New Roman" w:hAnsi="Times New Roman" w:cs="Times New Roman"/>
          <w:sz w:val="24"/>
          <w:szCs w:val="24"/>
        </w:rPr>
        <w:t xml:space="preserve"> di motivare e convincere gli studenti della strategica opportunità di compiere parte del loro percorso formativo all’estero, anche attraverso la loro partecipazione agli Open day già realizzati negli anni precedenti</w:t>
      </w:r>
      <w:r w:rsidR="009074E2" w:rsidRPr="00FC142C">
        <w:rPr>
          <w:rFonts w:ascii="Times New Roman" w:hAnsi="Times New Roman" w:cs="Times New Roman"/>
          <w:sz w:val="24"/>
          <w:szCs w:val="24"/>
        </w:rPr>
        <w:t>.</w:t>
      </w:r>
      <w:r w:rsidR="003B77CD" w:rsidRPr="003B77CD">
        <w:t xml:space="preserve"> </w:t>
      </w:r>
    </w:p>
    <w:sectPr w:rsidR="00C1564B" w:rsidRPr="00FC14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36B3A"/>
    <w:multiLevelType w:val="hybridMultilevel"/>
    <w:tmpl w:val="18B095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33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1C"/>
    <w:rsid w:val="00096035"/>
    <w:rsid w:val="001310BA"/>
    <w:rsid w:val="001C461C"/>
    <w:rsid w:val="001D5D0E"/>
    <w:rsid w:val="001D653B"/>
    <w:rsid w:val="002054EE"/>
    <w:rsid w:val="00237AC2"/>
    <w:rsid w:val="00253DA1"/>
    <w:rsid w:val="002A173C"/>
    <w:rsid w:val="002B2B49"/>
    <w:rsid w:val="002D0817"/>
    <w:rsid w:val="002E1F07"/>
    <w:rsid w:val="00370CE1"/>
    <w:rsid w:val="003B7303"/>
    <w:rsid w:val="003B77CD"/>
    <w:rsid w:val="003D12B2"/>
    <w:rsid w:val="003E20B9"/>
    <w:rsid w:val="003E41F3"/>
    <w:rsid w:val="00411E6B"/>
    <w:rsid w:val="00416D1B"/>
    <w:rsid w:val="00421BBF"/>
    <w:rsid w:val="004363B9"/>
    <w:rsid w:val="0045693F"/>
    <w:rsid w:val="00480C0A"/>
    <w:rsid w:val="004E1DF0"/>
    <w:rsid w:val="004F223C"/>
    <w:rsid w:val="00524423"/>
    <w:rsid w:val="0052503D"/>
    <w:rsid w:val="00547F76"/>
    <w:rsid w:val="005770A8"/>
    <w:rsid w:val="0057737E"/>
    <w:rsid w:val="005B28A8"/>
    <w:rsid w:val="005E6F49"/>
    <w:rsid w:val="00601DED"/>
    <w:rsid w:val="00624CE6"/>
    <w:rsid w:val="00635ECC"/>
    <w:rsid w:val="00660EB4"/>
    <w:rsid w:val="00665C69"/>
    <w:rsid w:val="00680FD1"/>
    <w:rsid w:val="00682A56"/>
    <w:rsid w:val="00694646"/>
    <w:rsid w:val="006B6CEB"/>
    <w:rsid w:val="006C0FF5"/>
    <w:rsid w:val="006C13D3"/>
    <w:rsid w:val="00717ECF"/>
    <w:rsid w:val="00721691"/>
    <w:rsid w:val="00746D55"/>
    <w:rsid w:val="007566E1"/>
    <w:rsid w:val="00837ABD"/>
    <w:rsid w:val="00893EA0"/>
    <w:rsid w:val="008C0A43"/>
    <w:rsid w:val="009074E2"/>
    <w:rsid w:val="0091391B"/>
    <w:rsid w:val="009262C1"/>
    <w:rsid w:val="0094400F"/>
    <w:rsid w:val="00975D8C"/>
    <w:rsid w:val="00997513"/>
    <w:rsid w:val="009A48EB"/>
    <w:rsid w:val="009B07D0"/>
    <w:rsid w:val="009B7099"/>
    <w:rsid w:val="009C57CC"/>
    <w:rsid w:val="009E5078"/>
    <w:rsid w:val="009F1604"/>
    <w:rsid w:val="00A05E36"/>
    <w:rsid w:val="00A31449"/>
    <w:rsid w:val="00A51CE0"/>
    <w:rsid w:val="00A536F9"/>
    <w:rsid w:val="00A640A7"/>
    <w:rsid w:val="00A70D45"/>
    <w:rsid w:val="00A9411C"/>
    <w:rsid w:val="00A95F63"/>
    <w:rsid w:val="00AA36EB"/>
    <w:rsid w:val="00AD775D"/>
    <w:rsid w:val="00AE3938"/>
    <w:rsid w:val="00AF76C5"/>
    <w:rsid w:val="00B6380B"/>
    <w:rsid w:val="00B8713F"/>
    <w:rsid w:val="00BA03C5"/>
    <w:rsid w:val="00BA1A29"/>
    <w:rsid w:val="00BD6852"/>
    <w:rsid w:val="00C11DF3"/>
    <w:rsid w:val="00C1564B"/>
    <w:rsid w:val="00C17760"/>
    <w:rsid w:val="00C4650C"/>
    <w:rsid w:val="00C75C24"/>
    <w:rsid w:val="00CA0E11"/>
    <w:rsid w:val="00CA6DDB"/>
    <w:rsid w:val="00CC6F84"/>
    <w:rsid w:val="00CD0294"/>
    <w:rsid w:val="00D016A3"/>
    <w:rsid w:val="00D44C10"/>
    <w:rsid w:val="00D63069"/>
    <w:rsid w:val="00D654F1"/>
    <w:rsid w:val="00D948E3"/>
    <w:rsid w:val="00DC7E0B"/>
    <w:rsid w:val="00DD4909"/>
    <w:rsid w:val="00E12935"/>
    <w:rsid w:val="00E30CE8"/>
    <w:rsid w:val="00E32DA8"/>
    <w:rsid w:val="00E46BC7"/>
    <w:rsid w:val="00E754CE"/>
    <w:rsid w:val="00ED5123"/>
    <w:rsid w:val="00F016C6"/>
    <w:rsid w:val="00F14722"/>
    <w:rsid w:val="00F275C6"/>
    <w:rsid w:val="00F66A9F"/>
    <w:rsid w:val="00FA512A"/>
    <w:rsid w:val="00FC142C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5DD8"/>
  <w15:docId w15:val="{D24E5A64-D189-413F-856E-5B7072FE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4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Digerifin</dc:creator>
  <cp:lastModifiedBy>Sabina Martemucci</cp:lastModifiedBy>
  <cp:revision>2</cp:revision>
  <dcterms:created xsi:type="dcterms:W3CDTF">2023-11-16T12:28:00Z</dcterms:created>
  <dcterms:modified xsi:type="dcterms:W3CDTF">2023-11-16T12:28:00Z</dcterms:modified>
</cp:coreProperties>
</file>