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  <w:gridCol w:w="12"/>
      </w:tblGrid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B2A1C7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highlight w:val="red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b/>
                <w:lang w:eastAsia="it-IT"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ENDOCRINOLOGIA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DIETISTICA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2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ENDOCRINOLOGY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Sì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ITALIANO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b/>
                <w:lang w:eastAsia="it-IT"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Nome Cognome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Indirizzo Mail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VINCENZO TRIGGIANI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vincenzo.triggiani@uniba.it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b/>
                <w:lang w:eastAsia="it-IT"/>
              </w:rPr>
              <w:t>Dettaglio crediti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Crediti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MED-13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b/>
                <w:lang w:eastAsia="it-I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center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I semestre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secondo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Lezioni frontali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b/>
                <w:lang w:eastAsia="it-IT"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48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24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24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b/>
                <w:lang w:eastAsia="it-IT"/>
              </w:rPr>
              <w:t>C</w:t>
            </w:r>
            <w:r w:rsidRPr="00884489">
              <w:rPr>
                <w:rFonts w:ascii="Gill Sans MT" w:eastAsia="MS Mincho" w:hAnsi="Gill Sans MT" w:cs="Times New Roman"/>
                <w:b/>
                <w:shd w:val="clear" w:color="auto" w:fill="B2A1C7"/>
                <w:lang w:eastAsia="it-IT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highlight w:val="red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dicembre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gennaio</w:t>
            </w:r>
          </w:p>
        </w:tc>
      </w:tr>
      <w:tr w:rsidR="00884489" w:rsidRPr="00884489" w:rsidTr="00ED7DE2">
        <w:trPr>
          <w:gridAfter w:val="1"/>
          <w:wAfter w:w="12" w:type="dxa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lang w:eastAsia="it-IT"/>
              </w:rPr>
            </w:pPr>
            <w:proofErr w:type="spellStart"/>
            <w:r w:rsidRPr="00884489">
              <w:rPr>
                <w:rFonts w:ascii="Gill Sans MT" w:eastAsia="MS Mincho" w:hAnsi="Gill Sans MT" w:cs="Times New Roman"/>
                <w:b/>
                <w:lang w:eastAsia="it-IT"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Prerequisiti</w:t>
            </w:r>
          </w:p>
        </w:tc>
        <w:tc>
          <w:tcPr>
            <w:tcW w:w="5763" w:type="dxa"/>
            <w:gridSpan w:val="3"/>
          </w:tcPr>
          <w:p w:rsidR="00884489" w:rsidRPr="00884489" w:rsidRDefault="00884489" w:rsidP="00884489">
            <w:pPr>
              <w:spacing w:after="0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Conoscenze di base di anatomia, fisiologia, biochimica e patologia generale.</w:t>
            </w:r>
          </w:p>
        </w:tc>
      </w:tr>
      <w:tr w:rsidR="00884489" w:rsidRPr="00884489" w:rsidTr="00ED7DE2">
        <w:trPr>
          <w:gridAfter w:val="1"/>
          <w:wAfter w:w="12" w:type="dxa"/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Risultati di apprendimento previsti</w:t>
            </w:r>
          </w:p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 xml:space="preserve">(declinare rispetto ai Descrittori di Dublino) (si raccomanda che </w:t>
            </w:r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siano coerenti con i risultati di apprendimento del </w:t>
            </w:r>
            <w:proofErr w:type="spellStart"/>
            <w:r w:rsidRPr="00884489">
              <w:rPr>
                <w:rFonts w:ascii="Calibri" w:eastAsia="MS Mincho" w:hAnsi="Calibri" w:cs="Times New Roman"/>
                <w:lang w:eastAsia="it-IT"/>
              </w:rPr>
              <w:t>CdS</w:t>
            </w:r>
            <w:proofErr w:type="spellEnd"/>
            <w:r w:rsidRPr="00884489">
              <w:rPr>
                <w:rFonts w:ascii="Calibri" w:eastAsia="MS Mincho" w:hAnsi="Calibri" w:cs="Times New Roman"/>
                <w:lang w:eastAsia="it-IT"/>
              </w:rPr>
              <w:t>, riportati nei quadri A4a, A4b e A4c della SUA, compreso i risultati di apprendimento trasversali)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84489" w:rsidRPr="00884489" w:rsidRDefault="00884489" w:rsidP="0088448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eastAsia="MS Mincho" w:hAnsi="Gill Sans MT" w:cs="Times New Roman"/>
                <w:b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b/>
                <w:i/>
                <w:lang w:eastAsia="it-IT"/>
              </w:rPr>
              <w:t>Conoscenza e capacità di comprensione</w:t>
            </w:r>
          </w:p>
          <w:p w:rsidR="00884489" w:rsidRPr="00884489" w:rsidRDefault="00884489" w:rsidP="00884489">
            <w:pPr>
              <w:spacing w:after="0"/>
              <w:contextualSpacing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t>Gli studenti dovranno dimostrare di essere in grado di comprendere i principi di base delle funzioni del sistema endocrino  (secrezione ormonale, modalità d’azione ed effetti degli ormoni, regolazione del sistema endocrino), nonché elementi di fisiopatologia, diagnostica clinica, di laboratorio e strumentale delle principali malattie del sistema endocrino.</w:t>
            </w:r>
          </w:p>
          <w:p w:rsidR="00884489" w:rsidRPr="00884489" w:rsidRDefault="00884489" w:rsidP="0088448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eastAsia="MS Mincho" w:hAnsi="Gill Sans MT" w:cs="Times New Roman"/>
                <w:b/>
                <w:i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b/>
                <w:i/>
                <w:lang w:eastAsia="it-IT"/>
              </w:rPr>
              <w:t>Conoscenza e capacità di comprensione applicate:</w:t>
            </w:r>
          </w:p>
          <w:p w:rsidR="00884489" w:rsidRPr="00884489" w:rsidRDefault="00884489" w:rsidP="00884489">
            <w:pPr>
              <w:spacing w:after="0"/>
              <w:contextualSpacing/>
              <w:jc w:val="both"/>
              <w:rPr>
                <w:rFonts w:ascii="Calibri" w:eastAsia="MS Mincho" w:hAnsi="Calibri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t>Gli studenti dovrebbero essere in grado di utilizzare le nozioni e le conoscenze acquisite e applicarle nello svolgimento della loro attività pratica di dietisti.</w:t>
            </w:r>
          </w:p>
          <w:p w:rsidR="00884489" w:rsidRPr="00884489" w:rsidRDefault="00884489" w:rsidP="00884489">
            <w:pPr>
              <w:spacing w:after="0"/>
              <w:contextualSpacing/>
              <w:jc w:val="both"/>
              <w:rPr>
                <w:rFonts w:ascii="Calibri" w:eastAsia="MS Mincho" w:hAnsi="Calibri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 </w:t>
            </w:r>
            <w:r w:rsidRPr="00884489">
              <w:rPr>
                <w:rFonts w:ascii="Calibri" w:eastAsia="MS Mincho" w:hAnsi="Calibri" w:cs="Times New Roman"/>
                <w:lang w:eastAsia="it-IT"/>
              </w:rPr>
              <w:sym w:font="Symbol" w:char="F0B7"/>
            </w:r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 </w:t>
            </w:r>
            <w:r w:rsidRPr="00884489">
              <w:rPr>
                <w:rFonts w:ascii="Calibri" w:eastAsia="MS Mincho" w:hAnsi="Calibri" w:cs="Times New Roman"/>
                <w:b/>
                <w:i/>
                <w:lang w:eastAsia="it-IT"/>
              </w:rPr>
              <w:t>Autonomia di giudizio:</w:t>
            </w:r>
          </w:p>
          <w:p w:rsidR="00884489" w:rsidRPr="00884489" w:rsidRDefault="00884489" w:rsidP="00884489">
            <w:pPr>
              <w:spacing w:after="0"/>
              <w:contextualSpacing/>
              <w:jc w:val="both"/>
              <w:rPr>
                <w:rFonts w:ascii="Calibri" w:eastAsia="MS Mincho" w:hAnsi="Calibri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lastRenderedPageBreak/>
              <w:t>Gli studenti dovrebbero essere in grado di approfondire autonomamente le nozioni apprese, in modo da acquisire progressivamente una piena maturità e autonomia di giudizio, secondo i princìpi etici di riferimento.</w:t>
            </w:r>
          </w:p>
          <w:p w:rsidR="00884489" w:rsidRPr="00884489" w:rsidRDefault="00884489" w:rsidP="00884489">
            <w:pPr>
              <w:spacing w:after="0"/>
              <w:contextualSpacing/>
              <w:jc w:val="both"/>
              <w:rPr>
                <w:rFonts w:ascii="Calibri" w:eastAsia="MS Mincho" w:hAnsi="Calibri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sym w:font="Symbol" w:char="F0B7"/>
            </w:r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 </w:t>
            </w:r>
            <w:r w:rsidRPr="00884489">
              <w:rPr>
                <w:rFonts w:ascii="Calibri" w:eastAsia="MS Mincho" w:hAnsi="Calibri" w:cs="Times New Roman"/>
                <w:b/>
                <w:i/>
                <w:lang w:eastAsia="it-IT"/>
              </w:rPr>
              <w:t>Abilità comunicative:</w:t>
            </w:r>
          </w:p>
          <w:p w:rsidR="00884489" w:rsidRPr="00884489" w:rsidRDefault="00884489" w:rsidP="00884489">
            <w:pPr>
              <w:spacing w:after="0"/>
              <w:contextualSpacing/>
              <w:jc w:val="both"/>
              <w:rPr>
                <w:rFonts w:ascii="Calibri" w:eastAsia="MS Mincho" w:hAnsi="Calibri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t>Gli studenti dovrebbero essere capaci di trasmettere le conoscenze apprese in modo chiaro e comprensibile a tutti, avendo acquisito adeguate competenze comunicativo-relazionali e abilità sociali utili alla costruzione della comunicazione tra soggetti diversi.</w:t>
            </w:r>
          </w:p>
          <w:p w:rsidR="00884489" w:rsidRPr="00884489" w:rsidRDefault="00884489" w:rsidP="00884489">
            <w:pPr>
              <w:spacing w:after="0"/>
              <w:contextualSpacing/>
              <w:jc w:val="both"/>
              <w:rPr>
                <w:rFonts w:ascii="Calibri" w:eastAsia="MS Mincho" w:hAnsi="Calibri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sym w:font="Symbol" w:char="F0B7"/>
            </w:r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 </w:t>
            </w:r>
            <w:r w:rsidRPr="00884489">
              <w:rPr>
                <w:rFonts w:ascii="Calibri" w:eastAsia="MS Mincho" w:hAnsi="Calibri" w:cs="Times New Roman"/>
                <w:b/>
                <w:i/>
                <w:lang w:eastAsia="it-IT"/>
              </w:rPr>
              <w:t>Capacità di apprendere</w:t>
            </w:r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 :</w:t>
            </w:r>
          </w:p>
          <w:p w:rsidR="00884489" w:rsidRPr="00884489" w:rsidRDefault="00884489" w:rsidP="00884489">
            <w:pPr>
              <w:spacing w:after="0"/>
              <w:contextualSpacing/>
              <w:jc w:val="both"/>
              <w:rPr>
                <w:rFonts w:ascii="Gill Sans MT" w:eastAsia="MS Mincho" w:hAnsi="Gill Sans MT" w:cs="Times New Roman"/>
                <w:i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t>Gli studenti dovrebbero acquisire la capacità di affinare ed approfondire le proprie conoscenze, proseguendo in modo autonomo nello studio e nell'aggiornamento delle competenze necessarie allo svolgimento dell’attività professionale del  dietista</w:t>
            </w: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 w:line="240" w:lineRule="auto"/>
              <w:contextualSpacing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1. Principi di Endocrinologia: Sistema endocrino, Classificazione degli ormoni, Recettori ormonali, azioni degli ormoni, Feed‐back 2. Generalità sulle malattie Endocrine. Principi di Terapia delle malattie endocrine. 3. Ipotalamo. Ipofisi anteriore: ormoni; principi di clinica, diagnostica e terapia delle principali malattie ipofisarie: adenomi ipofisari. Ipopituitarismo. 4. Tiroide: ormoni tiroidei. Ipotiroidismo, Ipertiroidismo, nodulo tiroideo, Carcinoma tiroideo. 5. Paratiroidi: PTH, </w:t>
            </w:r>
            <w:proofErr w:type="spellStart"/>
            <w:r w:rsidRPr="00884489">
              <w:rPr>
                <w:rFonts w:ascii="Calibri" w:eastAsia="MS Mincho" w:hAnsi="Calibri" w:cs="Times New Roman"/>
                <w:lang w:eastAsia="it-IT"/>
              </w:rPr>
              <w:t>vit</w:t>
            </w:r>
            <w:proofErr w:type="spellEnd"/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. D. Metabolismo fosfocalcico. </w:t>
            </w:r>
            <w:proofErr w:type="spellStart"/>
            <w:r w:rsidRPr="00884489">
              <w:rPr>
                <w:rFonts w:ascii="Calibri" w:eastAsia="MS Mincho" w:hAnsi="Calibri" w:cs="Times New Roman"/>
                <w:lang w:eastAsia="it-IT"/>
              </w:rPr>
              <w:t>Ipoparatiroidismo</w:t>
            </w:r>
            <w:proofErr w:type="spellEnd"/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. Iperparatiroidismo. 6. Surreni: ormoni della corticale e della midollare. </w:t>
            </w:r>
            <w:proofErr w:type="spellStart"/>
            <w:r w:rsidRPr="00884489">
              <w:rPr>
                <w:rFonts w:ascii="Calibri" w:eastAsia="MS Mincho" w:hAnsi="Calibri" w:cs="Times New Roman"/>
                <w:lang w:eastAsia="it-IT"/>
              </w:rPr>
              <w:t>Ipercorticosurrenalismo</w:t>
            </w:r>
            <w:proofErr w:type="spellEnd"/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. Iposurrenalismo. </w:t>
            </w:r>
            <w:proofErr w:type="spellStart"/>
            <w:r w:rsidRPr="00884489">
              <w:rPr>
                <w:rFonts w:ascii="Calibri" w:eastAsia="MS Mincho" w:hAnsi="Calibri" w:cs="Times New Roman"/>
                <w:lang w:eastAsia="it-IT"/>
              </w:rPr>
              <w:t>Feocromocitoma</w:t>
            </w:r>
            <w:proofErr w:type="spellEnd"/>
            <w:r w:rsidRPr="00884489">
              <w:rPr>
                <w:rFonts w:ascii="Calibri" w:eastAsia="MS Mincho" w:hAnsi="Calibri" w:cs="Times New Roman"/>
                <w:lang w:eastAsia="it-IT"/>
              </w:rPr>
              <w:t xml:space="preserve"> e </w:t>
            </w:r>
            <w:proofErr w:type="spellStart"/>
            <w:r w:rsidRPr="00884489">
              <w:rPr>
                <w:rFonts w:ascii="Calibri" w:eastAsia="MS Mincho" w:hAnsi="Calibri" w:cs="Times New Roman"/>
                <w:lang w:eastAsia="it-IT"/>
              </w:rPr>
              <w:t>iperaldosteronismo</w:t>
            </w:r>
            <w:proofErr w:type="spellEnd"/>
            <w:r w:rsidRPr="00884489">
              <w:rPr>
                <w:rFonts w:ascii="Calibri" w:eastAsia="MS Mincho" w:hAnsi="Calibri" w:cs="Times New Roman"/>
                <w:lang w:eastAsia="it-IT"/>
              </w:rPr>
              <w:t>. 7. Gonadi: Ovaio e testicolo. Ipogonadismo maschile.</w:t>
            </w:r>
            <w:r>
              <w:rPr>
                <w:rFonts w:ascii="Calibri" w:eastAsia="MS Mincho" w:hAnsi="Calibri" w:cs="Times New Roman"/>
                <w:lang w:eastAsia="it-IT"/>
              </w:rPr>
              <w:t xml:space="preserve"> PCOS.</w:t>
            </w: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b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b/>
                <w:lang w:eastAsia="it-IT"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trHeight w:val="70"/>
        </w:trPr>
        <w:tc>
          <w:tcPr>
            <w:tcW w:w="4091" w:type="dxa"/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Testi di riferimento</w:t>
            </w:r>
          </w:p>
        </w:tc>
        <w:tc>
          <w:tcPr>
            <w:tcW w:w="577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Materiale didattico fornito dal docente.</w:t>
            </w:r>
          </w:p>
          <w:p w:rsidR="00884489" w:rsidRPr="00884489" w:rsidRDefault="005635B4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>
              <w:rPr>
                <w:rFonts w:ascii="Gill Sans MT" w:hAnsi="Gill Sans MT"/>
              </w:rPr>
              <w:t xml:space="preserve">Marco </w:t>
            </w:r>
            <w:proofErr w:type="spellStart"/>
            <w:r>
              <w:rPr>
                <w:rFonts w:ascii="Gill Sans MT" w:hAnsi="Gill Sans MT"/>
              </w:rPr>
              <w:t>Boscaro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 w:rsidRPr="005635B4">
              <w:rPr>
                <w:rFonts w:ascii="Gill Sans MT" w:hAnsi="Gill Sans MT"/>
              </w:rPr>
              <w:t xml:space="preserve">Guida Pratica di Endocrinologia. </w:t>
            </w:r>
            <w:r>
              <w:rPr>
                <w:rFonts w:ascii="Gill Sans MT" w:hAnsi="Gill Sans MT"/>
                <w:lang w:val="en-GB"/>
              </w:rPr>
              <w:t>Ed. PICCIN.</w:t>
            </w:r>
            <w:bookmarkStart w:id="0" w:name="_GoBack"/>
            <w:bookmarkEnd w:id="0"/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 w:line="240" w:lineRule="auto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 w:line="240" w:lineRule="auto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Calibri" w:eastAsia="MS Mincho" w:hAnsi="Calibri" w:cs="Times New Roman"/>
                <w:lang w:eastAsia="it-IT"/>
              </w:rPr>
              <w:t>Il corso viene erogato attraverso lezioni frontali. Esso prevede anche l’analisi critica di tematiche specifiche, come momento di approfondimento e di applicazione delle conoscenze relative al sistema endocrino, alle sue funzioni nonché alle principali condizioni patologiche, coerentemente con gli obiettivi formativi precedentemente indicati.</w:t>
            </w: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Metodi di valutazione (indicare almeno la tipologia 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 w:line="240" w:lineRule="auto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Esame orale.</w:t>
            </w: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 xml:space="preserve">Criteri di valutazione (per ogni risultato di apprendimento atteso su indicato, </w:t>
            </w:r>
            <w:r w:rsidRPr="00884489">
              <w:rPr>
                <w:rFonts w:ascii="Calibri" w:eastAsia="Times New Roman" w:hAnsi="Calibri" w:cs="Times New Roman"/>
                <w:lang w:eastAsia="it-IT"/>
              </w:rPr>
              <w:t xml:space="preserve">descrivere cosa ci si aspetta lo studente conosca o sia in grado di fare e a quale livello al fine di dimostrare che un risultato di apprendimento è stato raggiunto e a </w:t>
            </w:r>
            <w:r w:rsidRPr="00884489">
              <w:rPr>
                <w:rFonts w:ascii="Calibri" w:eastAsia="Times New Roman" w:hAnsi="Calibri" w:cs="Times New Roman"/>
                <w:lang w:eastAsia="it-IT"/>
              </w:rPr>
              <w:lastRenderedPageBreak/>
              <w:t>quale livello)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 w:line="240" w:lineRule="auto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lastRenderedPageBreak/>
              <w:t>Lo studente dovrà dimostrare nel corso dell’esame di aver compreso le funzioni del sistema endocrino, nonché gli aspetti fisiopatologici e clinici delle principali malattie endocrine in relazione allo svolgimento dell’attività professionale del dietista.</w:t>
            </w:r>
          </w:p>
          <w:p w:rsidR="00884489" w:rsidRPr="00884489" w:rsidRDefault="00884489" w:rsidP="00884489">
            <w:pPr>
              <w:spacing w:after="0" w:line="240" w:lineRule="auto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t>La valutazione sarà espressa in trentesimi e andrà a far media con la votazione che il candidato conseguirà nelle discipline facenti parte dello stesso corso integrato.</w:t>
            </w:r>
          </w:p>
        </w:tc>
      </w:tr>
      <w:tr w:rsidR="00884489" w:rsidRPr="00884489" w:rsidTr="00ED7DE2">
        <w:trPr>
          <w:gridAfter w:val="1"/>
          <w:wAfter w:w="12" w:type="dxa"/>
          <w:trHeight w:val="70"/>
        </w:trPr>
        <w:tc>
          <w:tcPr>
            <w:tcW w:w="4091" w:type="dxa"/>
            <w:shd w:val="clear" w:color="auto" w:fill="FFFFFF"/>
          </w:tcPr>
          <w:p w:rsidR="00884489" w:rsidRPr="00884489" w:rsidRDefault="00884489" w:rsidP="00884489">
            <w:pPr>
              <w:spacing w:after="0"/>
              <w:rPr>
                <w:rFonts w:ascii="Gill Sans MT" w:eastAsia="MS Mincho" w:hAnsi="Gill Sans MT" w:cs="Times New Roman"/>
                <w:lang w:eastAsia="it-IT"/>
              </w:rPr>
            </w:pPr>
            <w:r w:rsidRPr="00884489">
              <w:rPr>
                <w:rFonts w:ascii="Gill Sans MT" w:eastAsia="MS Mincho" w:hAnsi="Gill Sans MT" w:cs="Times New Roman"/>
                <w:lang w:eastAsia="it-IT"/>
              </w:rPr>
              <w:lastRenderedPageBreak/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4489" w:rsidRPr="00884489" w:rsidRDefault="00884489" w:rsidP="00884489">
            <w:pPr>
              <w:spacing w:after="0" w:line="240" w:lineRule="auto"/>
              <w:jc w:val="both"/>
              <w:rPr>
                <w:rFonts w:ascii="Gill Sans MT" w:eastAsia="MS Mincho" w:hAnsi="Gill Sans MT" w:cs="Times New Roman"/>
                <w:lang w:eastAsia="it-IT"/>
              </w:rPr>
            </w:pPr>
          </w:p>
        </w:tc>
      </w:tr>
    </w:tbl>
    <w:p w:rsidR="00274680" w:rsidRDefault="00274680"/>
    <w:sectPr w:rsidR="00274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274680"/>
    <w:rsid w:val="005635B4"/>
    <w:rsid w:val="008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2021-01-20T06:00:00Z</dcterms:created>
  <dcterms:modified xsi:type="dcterms:W3CDTF">2021-01-20T17:52:00Z</dcterms:modified>
</cp:coreProperties>
</file>